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.xml" ContentType="application/vnd.openxmlformats-officedocument.drawingml.chart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pP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  <w:t xml:space="preserve">Отчет об оценке налоговых расходов Мурманской области </w:t>
      </w: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r>
    </w:p>
    <w:p>
      <w:pPr>
        <w:ind w:firstLine="708"/>
        <w:jc w:val="center"/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pP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  <w:t xml:space="preserve">за 2023 год, оценке налоговых расходов Мурманской области на 2024 год и на плановый период 2025 – 2027 годов</w:t>
      </w: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r>
      <w:r>
        <w:rPr>
          <w:rFonts w:ascii="TimesNewRoman" w:hAnsi="TimesNewRoman" w:cs="TimesNewRoman"/>
          <w:b/>
          <w:bCs/>
          <w:sz w:val="28"/>
          <w:szCs w:val="28"/>
          <w:shd w:val="clear" w:color="auto" w:fill="ffffff"/>
        </w:rPr>
      </w:r>
    </w:p>
    <w:p>
      <w:pPr>
        <w:ind w:firstLine="708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Оценка налоговых расходов Мурманской области за 2023 год проведена в соотве</w:t>
      </w:r>
      <w:r>
        <w:rPr>
          <w:rFonts w:ascii="TimesNewRoman" w:hAnsi="TimesNewRoman" w:cs="TimesNewRoman"/>
          <w:sz w:val="28"/>
          <w:szCs w:val="28"/>
        </w:rPr>
        <w:t xml:space="preserve">тствии со статьей 174.3 Бюджетного </w:t>
      </w:r>
      <w:r>
        <w:rPr>
          <w:rFonts w:ascii="TimesNewRoman" w:hAnsi="TimesNewRoman" w:cs="TimesNewRoman"/>
          <w:sz w:val="28"/>
          <w:szCs w:val="28"/>
        </w:rPr>
        <w:t xml:space="preserve">к</w:t>
      </w:r>
      <w:r>
        <w:rPr>
          <w:rFonts w:ascii="TimesNewRoman" w:hAnsi="TimesNewRoman" w:cs="TimesNewRoman"/>
          <w:sz w:val="28"/>
          <w:szCs w:val="28"/>
        </w:rPr>
        <w:t xml:space="preserve">одекса Российской Федерации, </w:t>
      </w:r>
      <w:r>
        <w:rPr>
          <w:rFonts w:ascii="TimesNewRoman" w:hAnsi="TimesNewRoman" w:cs="TimesNewRoman"/>
          <w:sz w:val="28"/>
          <w:szCs w:val="28"/>
        </w:rPr>
        <w:t xml:space="preserve">постановлением Правительства Российской Федерации от 22.06.2019 № 796 «Об общих требованиях к оценке налоговых расходов субъектов Российской Федерации и муниципальных образований», Законом </w:t>
      </w:r>
      <w:r>
        <w:rPr>
          <w:rFonts w:ascii="TimesNewRoman" w:hAnsi="TimesNewRoman" w:cs="TimesNewRoman"/>
          <w:sz w:val="28"/>
          <w:szCs w:val="28"/>
        </w:rPr>
        <w:t xml:space="preserve">Мурманской области от 06.12.2019 № 2435-01-ЗМО «Об оценке эффективности налоговых расходов Мурманской области», постановлением Правительства Мурманской области от 03.12.2019 № 554-ПП «Об утверждении порядка оценки налоговых расходов Мурманской области и фо</w:t>
      </w:r>
      <w:r>
        <w:rPr>
          <w:rFonts w:ascii="TimesNewRoman" w:hAnsi="TimesNewRoman" w:cs="TimesNewRoman"/>
          <w:sz w:val="28"/>
          <w:szCs w:val="28"/>
        </w:rPr>
        <w:t xml:space="preserve">рмирования перечня налоговых расходов Мурманской области».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целях оценки налоговых расходов Мурманской области сформирован перечень налоговых расходов Мурманской области, содержащий сведения о распределении налоговых расходов Мурманской области в соответс</w:t>
      </w:r>
      <w:r>
        <w:rPr>
          <w:rFonts w:ascii="TimesNewRoman" w:hAnsi="TimesNewRoman" w:cs="TimesNewRoman"/>
          <w:sz w:val="28"/>
          <w:szCs w:val="28"/>
        </w:rPr>
        <w:t xml:space="preserve">твии с целями государственных программ Мурманской области</w:t>
      </w:r>
      <w:r>
        <w:rPr>
          <w:rFonts w:ascii="TimesNewRoman" w:hAnsi="TimesNewRoman" w:cs="TimesNewRoman"/>
          <w:sz w:val="28"/>
          <w:szCs w:val="28"/>
        </w:rPr>
        <w:t xml:space="preserve">, а также о кураторах налоговых расходов Мурманской области, и размещен на сайте Министерства развития Арктики и экономики Мурманск</w:t>
      </w:r>
      <w:r>
        <w:rPr>
          <w:rFonts w:ascii="TimesNewRoman" w:hAnsi="TimesNewRoman" w:cs="TimesNewRoman"/>
          <w:sz w:val="28"/>
          <w:szCs w:val="28"/>
        </w:rPr>
        <w:t xml:space="preserve">ой области в разделе «Направления деятельности / Налогов</w:t>
      </w:r>
      <w:r>
        <w:rPr>
          <w:rFonts w:ascii="TimesNewRoman" w:hAnsi="TimesNewRoman" w:cs="TimesNewRoman"/>
          <w:sz w:val="28"/>
          <w:szCs w:val="28"/>
        </w:rPr>
        <w:t xml:space="preserve">ое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регулирование</w:t>
      </w:r>
      <w:r>
        <w:rPr>
          <w:rFonts w:ascii="TimesNewRoman" w:hAnsi="TimesNewRoman" w:cs="TimesNewRoman"/>
          <w:sz w:val="28"/>
          <w:szCs w:val="28"/>
        </w:rPr>
        <w:t xml:space="preserve">».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Кураторами налоговых расходов являются исполнительные органы Мурманской области, ответственные в соответствии с полномочиями, установленными нормативными правовыми актами Правительства </w:t>
      </w:r>
      <w:r>
        <w:rPr>
          <w:rFonts w:ascii="TimesNewRoman" w:hAnsi="TimesNewRoman" w:cs="TimesNewRoman"/>
          <w:sz w:val="28"/>
          <w:szCs w:val="28"/>
        </w:rPr>
        <w:t xml:space="preserve">Мурманской области за достижение соответствующих налоговому расходу целей государственной программы Мурманской области.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Исходные данные для проведения оценки доведены Управлением ФНС России по Мурманской области (в том числе уточненные сведения за отчетный</w:t>
      </w:r>
      <w:r>
        <w:rPr>
          <w:rFonts w:ascii="TimesNewRoman" w:hAnsi="TimesNewRoman" w:cs="TimesNewRoman"/>
          <w:sz w:val="28"/>
          <w:szCs w:val="28"/>
        </w:rPr>
        <w:t xml:space="preserve"> год, периоды, предшествующие отчетному году).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Кроме того, отчет сформирован на основании выводов, представленных кураторами налоговых расходов по результатам проведенной оценки эффективности налоговых расходов. При оценке эффективности инвестиционных нал</w:t>
      </w:r>
      <w:r>
        <w:rPr>
          <w:rFonts w:ascii="TimesNewRoman" w:hAnsi="TimesNewRoman" w:cs="TimesNewRoman"/>
          <w:sz w:val="28"/>
          <w:szCs w:val="28"/>
        </w:rPr>
        <w:t xml:space="preserve">оговых льгот приняты во внимание положительные прогнозные значения показателей экономической, бюджетной или социальной эффективности за расчетный период реализации проектов.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На территории Мурманской области региональные налоговые льготы предусмотрены </w:t>
      </w:r>
      <w:r>
        <w:rPr>
          <w:rFonts w:ascii="TimesNewRoman" w:hAnsi="TimesNewRoman" w:cs="TimesNewRoman"/>
          <w:sz w:val="28"/>
          <w:szCs w:val="28"/>
        </w:rPr>
        <w:t xml:space="preserve">З</w:t>
      </w:r>
      <w:r>
        <w:rPr>
          <w:rFonts w:ascii="TimesNewRoman" w:hAnsi="TimesNewRoman" w:cs="TimesNewRoman"/>
          <w:sz w:val="28"/>
          <w:szCs w:val="28"/>
        </w:rPr>
        <w:t xml:space="preserve">акон</w:t>
      </w:r>
      <w:r>
        <w:rPr>
          <w:rFonts w:ascii="TimesNewRoman" w:hAnsi="TimesNewRoman" w:cs="TimesNewRoman"/>
          <w:sz w:val="28"/>
          <w:szCs w:val="28"/>
        </w:rPr>
        <w:t xml:space="preserve">ами Мурманской области: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</w:t>
      </w:r>
      <w:r>
        <w:rPr>
          <w:rFonts w:ascii="TimesNewRoman" w:hAnsi="TimesNewRoman" w:cs="TimesNewRoman"/>
          <w:sz w:val="28"/>
          <w:szCs w:val="28"/>
        </w:rPr>
        <w:t xml:space="preserve"> </w:t>
      </w:r>
      <w:r>
        <w:rPr>
          <w:rFonts w:ascii="TimesNewRoman" w:hAnsi="TimesNewRoman" w:cs="TimesNewRoman"/>
          <w:sz w:val="28"/>
          <w:szCs w:val="28"/>
        </w:rPr>
        <w:t xml:space="preserve">от 09.11.2001 № 304-01-ЗМО «О ставке налога на прибыль организаций, зачисляемого в бюджет Мурманской области, для отдельных категорий налогоплательщиков» (с изменениями);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</w:t>
      </w:r>
      <w:r>
        <w:rPr>
          <w:rFonts w:ascii="TimesNewRoman" w:hAnsi="TimesNewRoman" w:cs="TimesNewRoman"/>
          <w:sz w:val="28"/>
          <w:szCs w:val="28"/>
        </w:rPr>
        <w:t xml:space="preserve"> о</w:t>
      </w:r>
      <w:r>
        <w:rPr>
          <w:rFonts w:ascii="TimesNewRoman" w:hAnsi="TimesNewRoman" w:cs="TimesNewRoman"/>
          <w:sz w:val="28"/>
          <w:szCs w:val="28"/>
        </w:rPr>
        <w:t xml:space="preserve">т 26.11.2003 № 446-01-ЗМО «О налоге на имущество организ</w:t>
      </w:r>
      <w:r>
        <w:rPr>
          <w:rFonts w:ascii="TimesNewRoman" w:hAnsi="TimesNewRoman" w:cs="TimesNewRoman"/>
          <w:sz w:val="28"/>
          <w:szCs w:val="28"/>
        </w:rPr>
        <w:t xml:space="preserve">аций» (с изменениями);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</w:t>
      </w:r>
      <w:r>
        <w:rPr>
          <w:rFonts w:ascii="TimesNewRoman" w:hAnsi="TimesNewRoman" w:cs="TimesNewRoman"/>
          <w:sz w:val="28"/>
          <w:szCs w:val="28"/>
        </w:rPr>
        <w:t xml:space="preserve"> </w:t>
      </w:r>
      <w:r>
        <w:rPr>
          <w:rFonts w:ascii="TimesNewRoman" w:hAnsi="TimesNewRoman" w:cs="TimesNewRoman"/>
          <w:sz w:val="28"/>
          <w:szCs w:val="28"/>
        </w:rPr>
        <w:t xml:space="preserve">от 18.11.2002 № 368-01-ЗМО «О транспортном налоге» (с изменениями);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</w:t>
      </w:r>
      <w:r>
        <w:rPr>
          <w:rFonts w:ascii="TimesNewRoman" w:hAnsi="TimesNewRoman" w:cs="TimesNewRoman"/>
          <w:sz w:val="28"/>
          <w:szCs w:val="28"/>
        </w:rPr>
        <w:t xml:space="preserve"> </w:t>
      </w:r>
      <w:r>
        <w:rPr>
          <w:rFonts w:ascii="TimesNewRoman" w:hAnsi="TimesNewRoman" w:cs="TimesNewRoman"/>
          <w:sz w:val="28"/>
          <w:szCs w:val="28"/>
        </w:rPr>
        <w:t xml:space="preserve">от 03.03.2009 № 1075-01-ЗМО «Об </w:t>
      </w:r>
      <w:r>
        <w:rPr>
          <w:rFonts w:ascii="TimesNewRoman" w:hAnsi="TimesNewRoman" w:cs="TimesNewRoman"/>
          <w:sz w:val="28"/>
          <w:szCs w:val="28"/>
        </w:rPr>
        <w:t xml:space="preserve">установлении дифференцированных налоговых ставок в зависимости от категорий налогоплательщиков по налогу, взимаемому в связи с п</w:t>
      </w:r>
      <w:r>
        <w:rPr>
          <w:rFonts w:ascii="TimesNewRoman" w:hAnsi="TimesNewRoman" w:cs="TimesNewRoman"/>
          <w:sz w:val="28"/>
          <w:szCs w:val="28"/>
        </w:rPr>
        <w:t xml:space="preserve">рименением упрощенной системы налогообложения» (с изменениями);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</w:t>
      </w:r>
      <w:r>
        <w:rPr>
          <w:rFonts w:ascii="TimesNewRoman" w:hAnsi="TimesNewRoman" w:cs="TimesNewRoman"/>
          <w:sz w:val="28"/>
          <w:szCs w:val="28"/>
        </w:rPr>
        <w:t xml:space="preserve"> </w:t>
      </w:r>
      <w:r>
        <w:rPr>
          <w:rFonts w:ascii="TimesNewRoman" w:hAnsi="TimesNewRoman" w:cs="TimesNewRoman"/>
          <w:sz w:val="28"/>
          <w:szCs w:val="28"/>
        </w:rPr>
        <w:t xml:space="preserve">от 08.10.2015 № 1901-01-ЗМО «Об установлении налоговой ставки в размере 0 процентов для отдельных категорий налогоплательщиков при применении упрощенной системы налогообложения и (или) патен</w:t>
      </w:r>
      <w:r>
        <w:rPr>
          <w:rFonts w:ascii="TimesNewRoman" w:hAnsi="TimesNewRoman" w:cs="TimesNewRoman"/>
          <w:sz w:val="28"/>
          <w:szCs w:val="28"/>
        </w:rPr>
        <w:t xml:space="preserve">тной системы налогообложения на территории Мурманской области» (с изменениями);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– </w:t>
      </w:r>
      <w:r>
        <w:rPr>
          <w:rFonts w:ascii="TimesNewRoman" w:hAnsi="TimesNewRoman" w:cs="TimesNewRoman"/>
          <w:sz w:val="28"/>
          <w:szCs w:val="28"/>
        </w:rPr>
        <w:t xml:space="preserve">от 29.03.2022 № 2744-01-ЗМО «О применении инвестиционного налогового вычета по налогу на прибыль организаций на территории Мурманской области».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Общий объем выпадающих (недопо</w:t>
      </w:r>
      <w:r>
        <w:rPr>
          <w:rFonts w:ascii="TimesNewRoman" w:hAnsi="TimesNewRoman" w:cs="TimesNewRoman"/>
          <w:sz w:val="28"/>
          <w:szCs w:val="28"/>
        </w:rPr>
        <w:t xml:space="preserve">лученных) доходов консолидированного бюджета Мурманской области в результате предоставления налоговых льгот за 2023 год составил 21,6 млрд рублей, увеличившись в 1,2 раза (на 4,1 млрд рублей) по отношению к уровню 2022 года, что в большей степени обусловле</w:t>
      </w:r>
      <w:r>
        <w:rPr>
          <w:rFonts w:ascii="TimesNewRoman" w:hAnsi="TimesNewRoman" w:cs="TimesNewRoman"/>
          <w:sz w:val="28"/>
          <w:szCs w:val="28"/>
        </w:rPr>
        <w:t xml:space="preserve">но ростом объема налоговых льгот по налогу, взимаемому в связи с применением упрощенной системы налогообложения (далее – УСН) в 1,3 раза (на 2,8 млрд рублей).</w:t>
      </w:r>
      <w:r>
        <w:rPr>
          <w:rFonts w:ascii="TimesNewRoman" w:hAnsi="TimesNewRoman" w:cs="TimesNewRoman"/>
          <w:sz w:val="28"/>
          <w:szCs w:val="28"/>
        </w:rPr>
        <w:t xml:space="preserve"> Сумма недополученных доходов по налогу, взимаемому в связи с применением УСН рассчитана УФНС России по Мурманской области  без уменьшения на сумму страховых взносов, которая оценивается в объеме 3,081 млрд рублей</w:t>
      </w:r>
      <w:r>
        <w:rPr>
          <w:rFonts w:ascii="TimesNewRoman" w:hAnsi="TimesNewRoman" w:cs="TimesNewRoman"/>
          <w:sz w:val="28"/>
          <w:szCs w:val="28"/>
        </w:rPr>
        <w:t xml:space="preserve"> за 2023 год.</w:t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Удельный вес налоговых льгот в налоговых доходах консолидированного бюджета Мурманской области со</w:t>
      </w:r>
      <w:r>
        <w:rPr>
          <w:rFonts w:ascii="TimesNewRoman" w:hAnsi="TimesNewRoman" w:cs="TimesNewRoman"/>
          <w:sz w:val="28"/>
          <w:szCs w:val="28"/>
        </w:rPr>
        <w:t xml:space="preserve">кратился на 0,2 процентных </w:t>
      </w:r>
      <w:r>
        <w:rPr>
          <w:rFonts w:ascii="TimesNewRoman" w:hAnsi="TimesNewRoman" w:cs="TimesNewRoman"/>
          <w:sz w:val="28"/>
          <w:szCs w:val="28"/>
        </w:rPr>
        <w:t xml:space="preserve">пункта и составил 16,9 %.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jc w:val="right"/>
        <w:spacing w:line="269" w:lineRule="auto"/>
        <w:rPr>
          <w:rFonts w:ascii="TimesNewRoman" w:hAnsi="TimesNewRoman" w:cs="TimesNewRoman"/>
          <w:highlight w:val="none"/>
        </w:rPr>
      </w:pPr>
      <w:r>
        <w:rPr>
          <w:rFonts w:ascii="TimesNewRoman" w:hAnsi="TimesNewRoman" w:cs="TimesNewRoman"/>
          <w:highlight w:val="none"/>
        </w:rPr>
      </w:r>
      <w:r>
        <w:rPr>
          <w:rFonts w:ascii="TimesNewRoman" w:hAnsi="TimesNewRoman" w:cs="TimesNewRoman"/>
          <w:highlight w:val="none"/>
        </w:rPr>
      </w:r>
      <w:r>
        <w:rPr>
          <w:rFonts w:ascii="TimesNewRoman" w:hAnsi="TimesNewRoman" w:cs="TimesNewRoman"/>
          <w:highlight w:val="none"/>
        </w:rPr>
      </w:r>
    </w:p>
    <w:p>
      <w:pPr>
        <w:jc w:val="right"/>
        <w:spacing w:line="269" w:lineRule="auto"/>
        <w:rPr>
          <w:rFonts w:ascii="TimesNewRoman" w:hAnsi="TimesNewRoman" w:cs="TimesNewRoman"/>
          <w:highlight w:val="none"/>
        </w:rPr>
      </w:pPr>
      <w:r>
        <w:rPr>
          <w:rFonts w:ascii="TimesNewRoman" w:hAnsi="TimesNewRoman" w:cs="TimesNewRoman"/>
          <w:highlight w:val="none"/>
        </w:rPr>
      </w:r>
      <w:r>
        <w:rPr>
          <w:rFonts w:ascii="TimesNewRoman" w:hAnsi="TimesNewRoman" w:cs="TimesNewRoman"/>
          <w:highlight w:val="none"/>
        </w:rPr>
      </w:r>
      <w:r>
        <w:rPr>
          <w:rFonts w:ascii="TimesNewRoman" w:hAnsi="TimesNewRoman" w:cs="TimesNewRoman"/>
          <w:highlight w:val="none"/>
        </w:rPr>
      </w:r>
    </w:p>
    <w:p>
      <w:pPr>
        <w:jc w:val="right"/>
        <w:spacing w:line="269" w:lineRule="auto"/>
        <w:rPr>
          <w:rFonts w:ascii="TimesNewRoman" w:hAnsi="TimesNewRoman" w:cs="TimesNewRoman"/>
          <w:highlight w:val="none"/>
        </w:rPr>
      </w:pPr>
      <w:r>
        <w:rPr>
          <w:rFonts w:ascii="TimesNewRoman" w:hAnsi="TimesNewRoman" w:cs="TimesNewRoman"/>
        </w:rPr>
        <w:t xml:space="preserve">Таблица № 1</w:t>
      </w:r>
      <w:r>
        <w:rPr>
          <w:rFonts w:ascii="TimesNewRoman" w:hAnsi="TimesNewRoman" w:cs="TimesNewRoman"/>
          <w:highlight w:val="none"/>
        </w:rPr>
      </w:r>
      <w:r>
        <w:rPr>
          <w:rFonts w:ascii="TimesNewRoman" w:hAnsi="TimesNewRoman" w:cs="TimesNewRoman"/>
          <w:highlight w:val="none"/>
        </w:rPr>
      </w:r>
    </w:p>
    <w:p>
      <w:pPr>
        <w:jc w:val="center"/>
        <w:spacing w:line="269" w:lineRule="auto"/>
        <w:rPr>
          <w:rFonts w:ascii="TimesNewRoman" w:hAnsi="TimesNewRoman" w:cs="TimesNewRoman"/>
          <w:bCs/>
          <w:i/>
          <w:sz w:val="20"/>
          <w:szCs w:val="20"/>
        </w:rPr>
      </w:pPr>
      <w:r>
        <w:rPr>
          <w:rFonts w:ascii="TimesNewRoman" w:hAnsi="TimesNewRoman" w:cs="TimesNewRoman"/>
          <w:i/>
          <w:iCs/>
          <w:sz w:val="20"/>
          <w:szCs w:val="20"/>
        </w:rPr>
      </w:r>
      <w:r>
        <w:rPr>
          <w:rFonts w:ascii="TimesNewRoman" w:hAnsi="TimesNewRoman" w:cs="TimesNewRoman"/>
          <w:i/>
          <w:iCs/>
          <w:sz w:val="20"/>
          <w:szCs w:val="20"/>
        </w:rPr>
      </w:r>
      <w:r>
        <w:rPr>
          <w:rFonts w:ascii="TimesNewRoman" w:hAnsi="TimesNewRoman" w:cs="TimesNewRoman"/>
          <w:bCs/>
          <w:i/>
          <w:sz w:val="20"/>
          <w:szCs w:val="20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20"/>
          <w:szCs w:val="20"/>
        </w:rPr>
      </w:pPr>
      <w:r>
        <w:rPr>
          <w:rFonts w:ascii="TimesNewRoman" w:hAnsi="TimesNewRoman" w:cs="TimesNewRoman"/>
          <w:i/>
          <w:iCs/>
          <w:sz w:val="20"/>
          <w:szCs w:val="20"/>
        </w:rPr>
      </w:r>
      <w:r>
        <w:rPr>
          <w:rFonts w:ascii="TimesNewRoman" w:hAnsi="TimesNewRoman" w:cs="TimesNewRoman"/>
          <w:i/>
          <w:iCs/>
          <w:sz w:val="20"/>
          <w:szCs w:val="20"/>
        </w:rPr>
      </w:r>
      <w:r>
        <w:rPr>
          <w:rFonts w:ascii="TimesNewRoman" w:hAnsi="TimesNewRoman" w:cs="TimesNewRoman"/>
          <w:i/>
          <w:iCs/>
          <w:sz w:val="20"/>
          <w:szCs w:val="20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27"/>
          <w:szCs w:val="27"/>
          <w:highlight w:val="none"/>
        </w:rPr>
      </w:pPr>
      <w:r>
        <w:rPr>
          <w:rFonts w:ascii="TimesNewRoman" w:hAnsi="TimesNewRoman" w:cs="TimesNewRoman"/>
          <w:i/>
          <w:iCs/>
          <w:sz w:val="27"/>
          <w:szCs w:val="27"/>
        </w:rPr>
        <w:t xml:space="preserve">Изменение объема налоговых льгот, предоставленных в соответствии с законодательными актами Мурманской области о налогах, за 2022-2023 годы</w:t>
      </w:r>
      <w:r>
        <w:rPr>
          <w:rFonts w:ascii="TimesNewRoman" w:hAnsi="TimesNewRoman" w:cs="TimesNewRoman"/>
          <w:i/>
          <w:iCs/>
          <w:sz w:val="27"/>
          <w:szCs w:val="27"/>
          <w:highlight w:val="none"/>
        </w:rPr>
      </w:r>
      <w:r>
        <w:rPr>
          <w:rFonts w:ascii="TimesNewRoman" w:hAnsi="TimesNewRoman" w:cs="TimesNewRoman"/>
          <w:i/>
          <w:iCs/>
          <w:sz w:val="27"/>
          <w:szCs w:val="27"/>
          <w:highlight w:val="none"/>
        </w:rPr>
      </w:r>
    </w:p>
    <w:p>
      <w:pPr>
        <w:jc w:val="center"/>
        <w:spacing w:line="269" w:lineRule="auto"/>
        <w:rPr>
          <w:rFonts w:ascii="TimesNewRoman" w:hAnsi="TimesNewRoman" w:cs="TimesNewRoman"/>
          <w:bCs/>
          <w:i/>
          <w:sz w:val="27"/>
          <w:szCs w:val="27"/>
        </w:rPr>
      </w:pPr>
      <w:r>
        <w:rPr>
          <w:rFonts w:ascii="TimesNewRoman" w:hAnsi="TimesNewRoman" w:cs="TimesNewRoman"/>
          <w:i/>
          <w:iCs/>
          <w:sz w:val="27"/>
          <w:szCs w:val="27"/>
          <w:highlight w:val="none"/>
        </w:rPr>
      </w:r>
      <w:r>
        <w:rPr>
          <w:rFonts w:ascii="TimesNewRoman" w:hAnsi="TimesNewRoman" w:cs="TimesNewRoman"/>
          <w:i/>
          <w:iCs/>
          <w:sz w:val="27"/>
          <w:szCs w:val="27"/>
          <w:highlight w:val="none"/>
        </w:rPr>
      </w:r>
      <w:r>
        <w:rPr>
          <w:rFonts w:ascii="TimesNewRoman" w:hAnsi="TimesNewRoman" w:cs="TimesNewRoman"/>
          <w:bCs/>
          <w:i/>
          <w:sz w:val="27"/>
          <w:szCs w:val="27"/>
        </w:rPr>
      </w:r>
    </w:p>
    <w:tbl>
      <w:tblPr>
        <w:tblW w:w="9896" w:type="dxa"/>
        <w:tblLayout w:type="fixed"/>
        <w:tblLook w:val="04A0" w:firstRow="1" w:lastRow="0" w:firstColumn="1" w:lastColumn="0" w:noHBand="0" w:noVBand="1"/>
      </w:tblPr>
      <w:tblGrid>
        <w:gridCol w:w="5745"/>
        <w:gridCol w:w="1242"/>
        <w:gridCol w:w="817"/>
        <w:gridCol w:w="1242"/>
        <w:gridCol w:w="851"/>
      </w:tblGrid>
      <w:tr>
        <w:tblPrEx/>
        <w:trPr>
          <w:trHeight w:val="5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Наименование показателей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b/>
                <w:bCs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2022 год</w:t>
            </w:r>
            <w:r>
              <w:rPr>
                <w:rFonts w:ascii="TimesNewRoman" w:hAnsi="TimesNewRoman" w:cs="TimesNewRoman"/>
                <w:b/>
                <w:bCs/>
              </w:rPr>
            </w:r>
            <w:r>
              <w:rPr>
                <w:rFonts w:ascii="TimesNewRoman" w:hAnsi="TimesNewRoman" w:cs="TimesNewRoman"/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2023 год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млн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рублей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%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млн рублей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%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Сумма налоговых льгот, предоставленных в соответствии с законами Мурманской области о налогах, млн руб.</w:t>
            </w:r>
            <w:r>
              <w:rPr>
                <w:rFonts w:ascii="TimesNewRoman" w:hAnsi="TimesNewRoman" w:cs="TimesNewRoman"/>
                <w:b/>
                <w:bCs/>
              </w:rPr>
            </w:r>
            <w:r>
              <w:rPr>
                <w:rFonts w:ascii="TimesNewRoman" w:hAnsi="TimesNewRoman" w:cs="TimesNew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17 588,4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100,0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21 646,1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100,0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  <w:b/>
                <w:bCs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  <w:b/>
                <w:bCs/>
                <w:sz w:val="27"/>
                <w:szCs w:val="27"/>
              </w:rPr>
            </w:r>
            <w:r>
              <w:rPr>
                <w:rFonts w:ascii="TimesNewRoman" w:hAnsi="TimesNewRoman" w:cs="TimesNewRoman"/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162,5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123,1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в том числе: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по налогу на прибыль организаций, млн руб.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2 616,5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14,9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3 244,9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15,0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206,2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124,0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в т.ч. в рамках заключенных соглашений (специальных инвестиционных контрактов) о государственной поддержке инвестиционной деятельности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  <w:sz w:val="22"/>
                <w:szCs w:val="22"/>
              </w:rPr>
              <w:t xml:space="preserve">2 492,1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  <w:sz w:val="22"/>
                <w:szCs w:val="22"/>
              </w:rPr>
              <w:t xml:space="preserve">95,2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  <w:sz w:val="22"/>
                <w:szCs w:val="22"/>
              </w:rPr>
              <w:t xml:space="preserve">2 177,6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  <w:sz w:val="22"/>
                <w:szCs w:val="22"/>
              </w:rPr>
              <w:t xml:space="preserve">67,1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210,4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87,4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по налогу на имущество организаций, млн руб.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3 649,2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20,7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4 229,8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19,5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cs="Tinos"/>
                <w:bCs/>
                <w:i/>
              </w:rPr>
            </w:pPr>
            <w:r>
              <w:rPr>
                <w:rFonts w:ascii="Tinos" w:hAnsi="Tinos" w:eastAsia="Tinos" w:cs="Tinos"/>
                <w:i/>
                <w:iCs/>
              </w:rPr>
              <w:t xml:space="preserve">203</w:t>
            </w:r>
            <w:r>
              <w:rPr>
                <w:rFonts w:ascii="Tinos" w:hAnsi="Tinos" w:eastAsia="Tinos" w:cs="Tinos"/>
                <w:i/>
                <w:iCs/>
              </w:rPr>
              <w:t xml:space="preserve">,8</w:t>
            </w:r>
            <w:r>
              <w:rPr>
                <w:rFonts w:ascii="Tinos" w:hAnsi="Tinos" w:eastAsia="Tinos" w:cs="Tinos"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cs="Tinos"/>
                <w:bCs/>
                <w:i/>
              </w:rPr>
            </w:pPr>
            <w:r>
              <w:rPr>
                <w:rFonts w:ascii="Tinos" w:hAnsi="Tinos" w:eastAsia="Tinos" w:cs="Tinos"/>
                <w:i/>
                <w:iCs/>
              </w:rPr>
              <w:t xml:space="preserve">х</w:t>
            </w:r>
            <w:r>
              <w:rPr>
                <w:rFonts w:ascii="Tinos" w:hAnsi="Tinos" w:eastAsia="Tinos" w:cs="Tinos"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cs="Tinos"/>
                <w:i/>
                <w:iCs/>
                <w:color w:val="000000"/>
              </w:rPr>
            </w:pPr>
            <w:r>
              <w:rPr>
                <w:rFonts w:ascii="Tinos" w:hAnsi="Tinos" w:eastAsia="Tinos" w:cs="Tinos"/>
                <w:i/>
                <w:iCs/>
                <w:color w:val="000000"/>
                <w:sz w:val="22"/>
                <w:szCs w:val="22"/>
              </w:rPr>
              <w:t xml:space="preserve">115,9</w:t>
            </w:r>
            <w:r>
              <w:rPr>
                <w:rFonts w:ascii="Tinos" w:hAnsi="Tinos" w:eastAsia="Tinos" w:cs="Tinos"/>
                <w:i/>
                <w:iCs/>
                <w:color w:val="000000"/>
              </w:rPr>
            </w:r>
            <w:r>
              <w:rPr>
                <w:rFonts w:ascii="Tinos" w:hAnsi="Tinos" w:cs="Tinos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cs="Tinos"/>
                <w:i/>
                <w:iCs/>
                <w:color w:val="000000"/>
              </w:rPr>
            </w:pPr>
            <w:r>
              <w:rPr>
                <w:rFonts w:ascii="Tinos" w:hAnsi="Tinos" w:eastAsia="Tinos" w:cs="Tinos"/>
                <w:i/>
                <w:iCs/>
                <w:color w:val="000000"/>
              </w:rPr>
              <w:t xml:space="preserve">х</w:t>
            </w:r>
            <w:r>
              <w:rPr>
                <w:rFonts w:ascii="Tinos" w:hAnsi="Tinos" w:eastAsia="Tinos" w:cs="Tinos"/>
                <w:i/>
                <w:iCs/>
                <w:color w:val="000000"/>
              </w:rPr>
            </w:r>
            <w:r>
              <w:rPr>
                <w:rFonts w:ascii="Tinos" w:hAnsi="Tinos" w:cs="Tinos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по транспортному налогу, млн руб.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197,6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1,1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207,6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1,0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164,4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105,1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по налогу, взимаемому в связи с применением упрощенной системы налогообложения (УСН), 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млн руб.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11 124,9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63,3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13 963,6*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64,5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145,6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125,5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по налогу, взимаемому в связи с применением патентной системы налогообложения (ПСН), 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  <w:p>
            <w:pPr>
              <w:rPr>
                <w:rFonts w:ascii="TimesNewRoman" w:hAnsi="TimesNewRoman" w:cs="TimesNewRoman"/>
                <w:b/>
                <w:bCs/>
                <w:i/>
                <w:iCs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млн руб.</w:t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0,2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0,001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0,2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0,001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66,7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100,0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>
          <w:trHeight w:val="6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Налоговые доходы консолидированного бюджета области, млн руб.</w:t>
            </w:r>
            <w:r>
              <w:rPr>
                <w:rFonts w:ascii="TimesNewRoman" w:hAnsi="TimesNewRoman" w:cs="TimesNewRoman"/>
                <w:b/>
                <w:bCs/>
              </w:rPr>
            </w:r>
            <w:r>
              <w:rPr>
                <w:rFonts w:ascii="TimesNewRoman" w:hAnsi="TimesNewRoman" w:cs="TimesNew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102 586,2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127 831,9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удельный вес льгот в налоговых доходах консолидированного бюджета области,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17,1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16,9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  <w:b/>
                <w:bCs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Налоговые и неналоговые доходы консолидированного бюджета области, млн руб.</w:t>
            </w:r>
            <w:r>
              <w:rPr>
                <w:rFonts w:ascii="TimesNewRoman" w:hAnsi="TimesNewRoman" w:cs="TimesNewRoman"/>
                <w:b/>
                <w:bCs/>
              </w:rPr>
            </w:r>
            <w:r>
              <w:rPr>
                <w:rFonts w:ascii="TimesNewRoman" w:hAnsi="TimesNewRoman" w:cs="TimesNew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  <w:sz w:val="22"/>
                <w:szCs w:val="22"/>
              </w:rPr>
              <w:t xml:space="preserve">108 678,2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  <w:sz w:val="22"/>
                <w:szCs w:val="22"/>
              </w:rPr>
              <w:t xml:space="preserve">133 532,5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5" w:type="dxa"/>
            <w:vAlign w:val="center"/>
            <w:textDirection w:val="lrTb"/>
            <w:noWrap/>
          </w:tcPr>
          <w:p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удельный вес льгот в налоговых и неналоговых доходах консолидированного бюджета области,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16,2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  <w:sz w:val="22"/>
                <w:szCs w:val="22"/>
              </w:rPr>
              <w:t xml:space="preserve">16,2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</w:tbl>
    <w:p>
      <w:pPr>
        <w:ind w:firstLine="708"/>
        <w:jc w:val="both"/>
        <w:rPr>
          <w:rFonts w:ascii="Times New Roman" w:hAnsi="Times New Roman" w:cs="Times New Roman"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*</w:t>
      </w:r>
      <w:r>
        <w:rPr>
          <w:rFonts w:ascii="Times New Roman" w:hAnsi="Times New Roman" w:cs="Times New Roman"/>
          <w:sz w:val="22"/>
          <w:szCs w:val="22"/>
        </w:rPr>
        <w:t xml:space="preserve">сумма недополученных доходов по налогу, </w:t>
      </w:r>
      <w:r>
        <w:rPr>
          <w:rFonts w:ascii="Times New Roman" w:hAnsi="Times New Roman" w:cs="Times New Roman"/>
          <w:sz w:val="22"/>
          <w:szCs w:val="22"/>
        </w:rPr>
        <w:t xml:space="preserve">взимаемому в связи с применением УСН</w:t>
      </w:r>
      <w:r>
        <w:rPr>
          <w:rFonts w:ascii="Times New Roman" w:hAnsi="Times New Roman" w:cs="Times New Roman"/>
          <w:sz w:val="22"/>
          <w:szCs w:val="22"/>
        </w:rPr>
        <w:t xml:space="preserve"> рассчитана УФНС России по Мурманской области  без уменьшения на сумму страховых взносов</w:t>
      </w:r>
      <w:r>
        <w:rPr>
          <w:rFonts w:ascii="Times New Roman" w:hAnsi="Times New Roman" w:cs="Times New Roman"/>
          <w:sz w:val="22"/>
          <w:szCs w:val="22"/>
          <w14:ligatures w14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выпадающих доходов консолидированного бюджета Мурманской области в результате предоставления региональных налоговых льгот по видам налогов за 2023 год представлена на рисунке 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-142" w:right="1"/>
        <w:jc w:val="center"/>
        <w:keepNext/>
        <w:spacing w:line="269" w:lineRule="auto"/>
        <w:rPr>
          <w:rFonts w:ascii="Tinos" w:hAnsi="Tinos" w:cs="Tinos"/>
          <w:color w:val="5f497a"/>
          <w:sz w:val="27"/>
          <w:szCs w:val="27"/>
        </w:rPr>
      </w:pPr>
      <w:r>
        <w:rPr>
          <w:rFonts w:ascii="Tinos" w:hAnsi="Tinos" w:cs="Tinos"/>
          <w:color w:val="5f497a"/>
          <w:sz w:val="27"/>
          <w:szCs w:val="27"/>
        </w:rPr>
      </w:r>
      <w:r>
        <w:rPr>
          <w:rFonts w:ascii="Tinos" w:hAnsi="Tinos" w:cs="Tinos"/>
          <w:color w:val="5f497a"/>
          <w:sz w:val="27"/>
          <w:szCs w:val="27"/>
        </w:rPr>
        <w:drawing>
          <wp:inline distT="0" distB="0" distL="0" distR="0">
            <wp:extent cx="5944847" cy="2536172"/>
            <wp:effectExtent l="4762" t="4762" r="4762" b="4762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nos" w:hAnsi="Tinos" w:cs="Tinos"/>
          <w:color w:val="5f497a"/>
          <w:sz w:val="27"/>
          <w:szCs w:val="27"/>
        </w:rPr>
      </w:r>
      <w:r>
        <w:rPr>
          <w:rFonts w:ascii="Tinos" w:hAnsi="Tinos" w:cs="Tinos"/>
          <w:color w:val="5f497a"/>
          <w:sz w:val="27"/>
          <w:szCs w:val="27"/>
        </w:rPr>
      </w:r>
      <w:r>
        <w:rPr>
          <w:rFonts w:ascii="Tinos" w:hAnsi="Tinos" w:cs="Tinos"/>
          <w:color w:val="5f497a"/>
          <w:sz w:val="27"/>
          <w:szCs w:val="27"/>
        </w:rPr>
      </w:r>
      <w:r>
        <w:rPr>
          <w:rFonts w:ascii="Tinos" w:hAnsi="Tinos" w:cs="Tinos"/>
          <w:color w:val="5f497a"/>
          <w:sz w:val="27"/>
          <w:szCs w:val="27"/>
        </w:rPr>
      </w:r>
    </w:p>
    <w:p>
      <w:pPr>
        <w:jc w:val="center"/>
        <w:spacing w:line="269" w:lineRule="auto"/>
        <w:rPr>
          <w:rFonts w:ascii="Tinos" w:hAnsi="Tinos" w:cs="Tinos"/>
          <w:sz w:val="21"/>
          <w:szCs w:val="21"/>
        </w:rPr>
      </w:pPr>
      <w:r>
        <w:rPr>
          <w:rFonts w:ascii="Tinos" w:hAnsi="Tinos" w:cs="Tinos"/>
          <w:sz w:val="22"/>
          <w:szCs w:val="22"/>
        </w:rPr>
        <w:t xml:space="preserve">Рис.1. Структура выпадающих доходов консолидированного бюджета Му</w:t>
      </w:r>
      <w:r>
        <w:rPr>
          <w:rFonts w:ascii="Tinos" w:hAnsi="Tinos" w:cs="Tinos"/>
          <w:sz w:val="22"/>
          <w:szCs w:val="22"/>
        </w:rPr>
        <w:t xml:space="preserve">рманской области в результате предоставления  региональных налоговых льгот </w:t>
      </w:r>
      <w:r>
        <w:rPr>
          <w:rFonts w:ascii="Tinos" w:hAnsi="Tinos" w:cs="Tinos"/>
          <w:sz w:val="22"/>
          <w:szCs w:val="22"/>
        </w:rPr>
        <w:t xml:space="preserve">по видам налогов за 2023 год</w:t>
      </w:r>
      <w:r>
        <w:rPr>
          <w:rFonts w:ascii="Tinos" w:hAnsi="Tinos" w:cs="Tinos"/>
          <w:sz w:val="21"/>
          <w:szCs w:val="21"/>
        </w:rPr>
      </w:r>
      <w:r>
        <w:rPr>
          <w:rFonts w:ascii="Tinos" w:hAnsi="Tinos" w:cs="Tinos"/>
          <w:sz w:val="21"/>
          <w:szCs w:val="21"/>
        </w:rPr>
      </w:r>
    </w:p>
    <w:p>
      <w:pPr>
        <w:ind w:firstLine="709"/>
        <w:jc w:val="both"/>
        <w:spacing w:line="269" w:lineRule="auto"/>
        <w:rPr>
          <w:rFonts w:ascii="TimesNewRoman" w:hAnsi="TimesNewRoman" w:cs="TimesNewRoman"/>
          <w:sz w:val="27"/>
          <w:szCs w:val="27"/>
        </w:rPr>
      </w:pPr>
      <w:r>
        <w:rPr>
          <w:rFonts w:ascii="TimesNewRoman" w:hAnsi="TimesNewRoman" w:cs="TimesNewRoman"/>
          <w:sz w:val="27"/>
          <w:szCs w:val="27"/>
        </w:rPr>
      </w:r>
      <w:r>
        <w:rPr>
          <w:rFonts w:ascii="TimesNewRoman" w:hAnsi="TimesNewRoman" w:cs="TimesNewRoman"/>
          <w:sz w:val="27"/>
          <w:szCs w:val="27"/>
        </w:rPr>
      </w:r>
      <w:r>
        <w:rPr>
          <w:rFonts w:ascii="TimesNewRoman" w:hAnsi="TimesNewRoman" w:cs="TimesNewRoman"/>
          <w:sz w:val="27"/>
          <w:szCs w:val="27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Наибольший удельный вес в общем объеме налоговых льгот, предоставленных в 2023 году, занимают льготы по налогу, взимаемому в связи с применением УСН (64,5 %). Объем недополученных доходов консолидированного бюджета Мурманской области по данному налогу увел</w:t>
      </w:r>
      <w:r>
        <w:rPr>
          <w:rFonts w:ascii="TimesNewRoman" w:hAnsi="TimesNewRoman" w:cs="TimesNewRoman"/>
          <w:sz w:val="28"/>
          <w:szCs w:val="28"/>
        </w:rPr>
        <w:t xml:space="preserve">ичился по сравнению с 2022 годом в 1,3 раза (на 2,8 млрд рублей) в связи с установлением на период 2020-2025 годов максимально сниженных налоговых ставок для налогоплательщиков, зарегистрированных и осуществляющих деятельность на территории Мурманской обла</w:t>
      </w:r>
      <w:r>
        <w:rPr>
          <w:rFonts w:ascii="TimesNewRoman" w:hAnsi="TimesNewRoman" w:cs="TimesNewRoman"/>
          <w:sz w:val="28"/>
          <w:szCs w:val="28"/>
        </w:rPr>
        <w:t xml:space="preserve">сти, без ограничений по видам экономической деятельности. Количество налогоплательщиков, воспользовавшихся правом на применение налоговой льготы в 2023 году увеличилось на </w:t>
      </w:r>
      <w:r>
        <w:rPr>
          <w:rFonts w:ascii="TimesNewRoman" w:hAnsi="TimesNewRoman" w:cs="TimesNewRoman"/>
          <w:sz w:val="28"/>
          <w:szCs w:val="28"/>
        </w:rPr>
        <w:t xml:space="preserve">1,8 % по отношению к 2022 году (на 260 налогоплательщиков).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Продолжает оставаться во</w:t>
      </w:r>
      <w:r>
        <w:rPr>
          <w:rFonts w:ascii="TimesNewRoman" w:hAnsi="TimesNewRoman" w:cs="TimesNewRoman"/>
          <w:sz w:val="28"/>
          <w:szCs w:val="28"/>
        </w:rPr>
        <w:t xml:space="preserve">стребованной налоговая льгота, предусмотренная для вновь зарегистрированных индивидуальных предпринимателей, осуществляющих предпринимательскую деятельность в производственной, социальной и (или) научной сферах, а также в сфере бытовых услуг населению, и п</w:t>
      </w:r>
      <w:r>
        <w:rPr>
          <w:rFonts w:ascii="TimesNewRoman" w:hAnsi="TimesNewRoman" w:cs="TimesNewRoman"/>
          <w:sz w:val="28"/>
          <w:szCs w:val="28"/>
        </w:rPr>
        <w:t xml:space="preserve">рименяющих УСН или патентную систему налогообложения, – налоговая ставка в размере 0 %. Количество получателей данной льготы за 2023 год составило 33 предпринимателя.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Налоговые расходы, обусловленные предоставлением льгот по налогу на имущество организаций, за 2023 год возросли на 15,9 % (на 0,6 млрд рублей) по сравнению с 2022 годом в результате увеличения объема государственной поддержки инвестиционной деятельности на</w:t>
      </w:r>
      <w:r>
        <w:rPr>
          <w:rFonts w:ascii="TimesNewRoman" w:hAnsi="TimesNewRoman" w:cs="TimesNewRoman"/>
          <w:sz w:val="28"/>
          <w:szCs w:val="28"/>
        </w:rPr>
        <w:t xml:space="preserve"> территории Мурманской области при реализации стратегических, приоритетных инвестиционных проектов Мурманской области.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Величина льгот по налогу на прибыль организаций в части сумм налога, зачисляемых в областной бюджет, за 2023 год составила 3,2 млрд рубл</w:t>
      </w:r>
      <w:r>
        <w:rPr>
          <w:rFonts w:ascii="TimesNewRoman" w:hAnsi="TimesNewRoman" w:cs="TimesNewRoman"/>
          <w:sz w:val="28"/>
          <w:szCs w:val="28"/>
        </w:rPr>
        <w:t xml:space="preserve">ей с ростом в 1,2 раза (на 0,6 млрд рублей) по отношению к 2022 году в связи с введением с 01.01.2022 механизма инвестиционного налогового вычета по налогу на прибыль организаций (далее – ИНВ) для организаций</w:t>
      </w:r>
      <w:r>
        <w:rPr>
          <w:rFonts w:ascii="TimesNewRoman" w:hAnsi="TimesNewRoman" w:cs="TimesNewRoman"/>
          <w:sz w:val="28"/>
          <w:szCs w:val="28"/>
        </w:rPr>
        <w:t xml:space="preserve">,</w:t>
      </w:r>
      <w:r>
        <w:rPr>
          <w:rFonts w:ascii="TimesNewRoman" w:hAnsi="TimesNewRoman" w:cs="TimesNewRoman"/>
          <w:sz w:val="28"/>
          <w:szCs w:val="28"/>
        </w:rPr>
        <w:t xml:space="preserve"> осуществляющих добычу и обогащение железных руд</w:t>
      </w:r>
      <w:r>
        <w:rPr>
          <w:rFonts w:ascii="TimesNewRoman" w:hAnsi="TimesNewRoman" w:cs="TimesNewRoman"/>
          <w:sz w:val="28"/>
          <w:szCs w:val="28"/>
        </w:rPr>
        <w:t xml:space="preserve">, реализующих стратегические инвестиционные проекты Мурманской области по восполнению ресурсной базы с объемом капитальных вложений от 100 млрд рублей</w:t>
      </w:r>
      <w:r>
        <w:rPr>
          <w:rFonts w:ascii="TimesNewRoman" w:hAnsi="TimesNewRoman" w:cs="TimesNewRoman"/>
          <w:sz w:val="28"/>
          <w:szCs w:val="28"/>
        </w:rPr>
        <w:t xml:space="preserve">,</w:t>
      </w:r>
      <w:r>
        <w:rPr>
          <w:rFonts w:ascii="TimesNewRoman" w:hAnsi="TimesNewRoman" w:cs="TimesNewRoman"/>
          <w:sz w:val="28"/>
          <w:szCs w:val="28"/>
        </w:rPr>
        <w:t xml:space="preserve"> и участников национального проекта «Производительность труда». Объем недополученных доходов областного бю</w:t>
      </w:r>
      <w:r>
        <w:rPr>
          <w:rFonts w:ascii="TimesNewRoman" w:hAnsi="TimesNewRoman" w:cs="TimesNewRoman"/>
          <w:sz w:val="28"/>
          <w:szCs w:val="28"/>
        </w:rPr>
        <w:t xml:space="preserve">джета в результате применения </w:t>
      </w:r>
      <w:r>
        <w:rPr>
          <w:rFonts w:ascii="TimesNewRoman" w:hAnsi="TimesNewRoman" w:cs="TimesNewRoman"/>
          <w:sz w:val="28"/>
          <w:szCs w:val="28"/>
        </w:rPr>
        <w:t xml:space="preserve">организациями механизма </w:t>
      </w:r>
      <w:r>
        <w:rPr>
          <w:rFonts w:ascii="TimesNewRoman" w:hAnsi="TimesNewRoman" w:cs="TimesNewRoman"/>
          <w:sz w:val="28"/>
          <w:szCs w:val="28"/>
        </w:rPr>
        <w:t xml:space="preserve">ИНВ за 2023 год составил 2,6 млрд рублей.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По транспортному налогу по итогам 2023 года объем предоставленных льгот увеличился на 5,1 % (на 10 млн рублей) за счет увеличения количества налогоплательщиков, воспользовавшихся льго</w:t>
      </w:r>
      <w:r>
        <w:rPr>
          <w:rFonts w:ascii="TimesNewRoman" w:hAnsi="TimesNewRoman" w:cs="TimesNewRoman"/>
          <w:sz w:val="28"/>
          <w:szCs w:val="28"/>
        </w:rPr>
        <w:t xml:space="preserve">тами, предусмотренными для лиц, отнесенных к категориям ветеранов Великой Отечественной войны, ветеранов боевых действий, инвалидов Великой Отечественной войны, инвалидов боевых действий, а также лиц, получающих пенсии (пенсии по старости, страховые пенсии</w:t>
      </w:r>
      <w:r>
        <w:rPr>
          <w:rFonts w:ascii="TimesNewRoman" w:hAnsi="TimesNewRoman" w:cs="TimesNewRoman"/>
          <w:sz w:val="28"/>
          <w:szCs w:val="28"/>
        </w:rPr>
        <w:t xml:space="preserve"> (трудовые пенсии), пенсии для нетрудоспособных лиц).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jc w:val="right"/>
        <w:spacing w:line="269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</w:r>
      <w:r>
        <w:rPr>
          <w:rFonts w:ascii="TimesNewRoman" w:hAnsi="TimesNewRoman" w:cs="TimesNewRoman"/>
          <w:sz w:val="20"/>
          <w:szCs w:val="20"/>
        </w:rPr>
      </w:r>
      <w:r>
        <w:rPr>
          <w:rFonts w:ascii="TimesNewRoman" w:hAnsi="TimesNewRoman" w:cs="TimesNewRoman"/>
          <w:sz w:val="20"/>
          <w:szCs w:val="20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right"/>
        <w:spacing w:line="269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Таблица № 2</w:t>
      </w:r>
      <w:r>
        <w:rPr>
          <w:rFonts w:ascii="TimesNewRoman" w:hAnsi="TimesNewRoman" w:cs="TimesNewRoman"/>
        </w:rPr>
      </w:r>
      <w:r>
        <w:rPr>
          <w:rFonts w:ascii="TimesNewRoman" w:hAnsi="TimesNewRoman" w:cs="TimesNewRoman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27"/>
          <w:szCs w:val="27"/>
        </w:rPr>
      </w:pPr>
      <w:r>
        <w:rPr>
          <w:rFonts w:ascii="TimesNewRoman" w:hAnsi="TimesNewRoman" w:cs="TimesNewRoman"/>
          <w:i/>
          <w:iCs/>
          <w:sz w:val="27"/>
          <w:szCs w:val="27"/>
        </w:rPr>
      </w:r>
      <w:r>
        <w:rPr>
          <w:rFonts w:ascii="TimesNewRoman" w:hAnsi="TimesNewRoman" w:cs="TimesNewRoman"/>
          <w:i/>
          <w:iCs/>
          <w:sz w:val="27"/>
          <w:szCs w:val="27"/>
        </w:rPr>
      </w:r>
      <w:r>
        <w:rPr>
          <w:rFonts w:ascii="TimesNewRoman" w:hAnsi="TimesNewRoman" w:cs="TimesNewRoman"/>
          <w:i/>
          <w:iCs/>
          <w:sz w:val="27"/>
          <w:szCs w:val="27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27"/>
          <w:szCs w:val="27"/>
        </w:rPr>
      </w:pPr>
      <w:r>
        <w:rPr>
          <w:rFonts w:ascii="TimesNewRoman" w:hAnsi="TimesNewRoman" w:cs="TimesNewRoman"/>
          <w:i/>
          <w:iCs/>
          <w:sz w:val="27"/>
          <w:szCs w:val="27"/>
        </w:rPr>
        <w:t xml:space="preserve">Структура выпадающих доходов, обусловленных предоставлением налоговых льгот на территории Мурманской области по целевой направленности </w:t>
      </w:r>
      <w:r>
        <w:rPr>
          <w:rFonts w:ascii="TimesNewRoman" w:hAnsi="TimesNewRoman" w:cs="TimesNewRoman"/>
          <w:i/>
          <w:iCs/>
          <w:sz w:val="27"/>
          <w:szCs w:val="27"/>
        </w:rPr>
      </w:r>
      <w:r>
        <w:rPr>
          <w:rFonts w:ascii="TimesNewRoman" w:hAnsi="TimesNewRoman" w:cs="TimesNewRoman"/>
          <w:i/>
          <w:iCs/>
          <w:sz w:val="27"/>
          <w:szCs w:val="27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27"/>
          <w:szCs w:val="27"/>
        </w:rPr>
      </w:pPr>
      <w:r>
        <w:rPr>
          <w:rFonts w:ascii="TimesNewRoman" w:hAnsi="TimesNewRoman" w:cs="TimesNewRoman"/>
          <w:i/>
          <w:iCs/>
          <w:sz w:val="27"/>
          <w:szCs w:val="27"/>
        </w:rPr>
        <w:t xml:space="preserve">за 2022-2023 годы</w:t>
      </w:r>
      <w:r>
        <w:rPr>
          <w:rFonts w:ascii="TimesNewRoman" w:hAnsi="TimesNewRoman" w:cs="TimesNewRoman"/>
          <w:i/>
          <w:iCs/>
          <w:sz w:val="27"/>
          <w:szCs w:val="27"/>
        </w:rPr>
      </w:r>
      <w:r>
        <w:rPr>
          <w:rFonts w:ascii="TimesNewRoman" w:hAnsi="TimesNewRoman" w:cs="TimesNewRoman"/>
          <w:i/>
          <w:iCs/>
          <w:sz w:val="27"/>
          <w:szCs w:val="27"/>
        </w:rPr>
      </w:r>
    </w:p>
    <w:p>
      <w:pPr>
        <w:jc w:val="center"/>
        <w:spacing w:line="269" w:lineRule="auto"/>
        <w:rPr>
          <w:rFonts w:ascii="TimesNewRoman" w:hAnsi="TimesNewRoman" w:cs="TimesNewRoman"/>
          <w:i/>
          <w:iCs/>
          <w:sz w:val="16"/>
          <w:szCs w:val="16"/>
        </w:rPr>
      </w:pPr>
      <w:r>
        <w:rPr>
          <w:rFonts w:ascii="TimesNewRoman" w:hAnsi="TimesNewRoman" w:cs="TimesNewRoman"/>
          <w:i/>
          <w:iCs/>
          <w:sz w:val="16"/>
          <w:szCs w:val="16"/>
        </w:rPr>
      </w:r>
      <w:r>
        <w:rPr>
          <w:rFonts w:ascii="TimesNewRoman" w:hAnsi="TimesNewRoman" w:cs="TimesNewRoman"/>
          <w:i/>
          <w:iCs/>
          <w:sz w:val="16"/>
          <w:szCs w:val="16"/>
        </w:rPr>
      </w:r>
      <w:r>
        <w:rPr>
          <w:rFonts w:ascii="TimesNewRoman" w:hAnsi="TimesNewRoman" w:cs="TimesNewRoman"/>
          <w:i/>
          <w:iCs/>
          <w:sz w:val="16"/>
          <w:szCs w:val="16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1370"/>
        <w:gridCol w:w="898"/>
        <w:gridCol w:w="1274"/>
        <w:gridCol w:w="909"/>
      </w:tblGrid>
      <w:tr>
        <w:tblPrEx/>
        <w:trPr>
          <w:trHeight w:val="3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Наименование показателей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b/>
                <w:bCs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2022 г</w:t>
            </w:r>
            <w:r>
              <w:rPr>
                <w:rFonts w:ascii="TimesNewRoman" w:hAnsi="TimesNewRoman" w:cs="TimesNewRoman"/>
                <w:b/>
                <w:bCs/>
              </w:rPr>
              <w:t xml:space="preserve">од</w:t>
            </w:r>
            <w:r>
              <w:rPr>
                <w:rFonts w:ascii="TimesNewRoman" w:hAnsi="TimesNewRoman" w:cs="TimesNewRoman"/>
                <w:b/>
                <w:bCs/>
              </w:rPr>
            </w:r>
            <w:r>
              <w:rPr>
                <w:rFonts w:ascii="TimesNewRoman" w:hAnsi="TimesNewRoman" w:cs="TimesNewRoman"/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b/>
                <w:bCs/>
                <w:strike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2023 год</w:t>
            </w:r>
            <w:r>
              <w:rPr>
                <w:rFonts w:ascii="TimesNewRoman" w:hAnsi="TimesNewRoman" w:cs="TimesNewRoman"/>
                <w:b/>
                <w:bCs/>
                <w:strike/>
              </w:rPr>
            </w:r>
            <w:r>
              <w:rPr>
                <w:rFonts w:ascii="TimesNewRoman" w:hAnsi="TimesNewRoman" w:cs="TimesNewRoman"/>
                <w:b/>
                <w:bCs/>
                <w:strike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млн рублей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%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млн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рублей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/>
          </w:tcPr>
          <w:p>
            <w:pPr>
              <w:jc w:val="center"/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%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</w:rPr>
              <w:t xml:space="preserve">Всего сумма налоговых льгот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</w:rPr>
              <w:t xml:space="preserve">17 588,4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</w:rPr>
              <w:t xml:space="preserve">100,0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</w:rPr>
              <w:t xml:space="preserve">21 646,1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color w:val="000000"/>
              </w:rPr>
              <w:t xml:space="preserve">100,0</w:t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  <w:b/>
                <w:bCs/>
                <w:i/>
                <w:iCs/>
                <w:sz w:val="27"/>
                <w:szCs w:val="27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  <w:b/>
                <w:bCs/>
                <w:i/>
                <w:iCs/>
                <w:sz w:val="27"/>
                <w:szCs w:val="27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162,5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123,1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b/>
                <w:bCs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- стимулирующие налоговые расходы 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(льготы, направленные на поддержку и развитие экономики)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17 336,5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98,6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21 387,1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98,8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162,5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123,4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- социальные налоговые расходы 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194,9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1,1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205,1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0,9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vAlign w:val="center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163,8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105,2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- технические налоговые расходы </w:t>
            </w: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</w:p>
          <w:p>
            <w:pPr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</w:rPr>
              <w:t xml:space="preserve">(льготы, направленные на ликвидацию встречных финансовых потоков)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57,0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0,3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53,9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0,3</w:t>
            </w:r>
            <w:r>
              <w:rPr>
                <w:rFonts w:ascii="TimesNewRoman" w:hAnsi="TimesNewRoman" w:cs="TimesNewRoman"/>
                <w:color w:val="000000"/>
              </w:rPr>
            </w:r>
            <w:r>
              <w:rPr>
                <w:rFonts w:ascii="TimesNewRoman" w:hAnsi="TimesNewRoman" w:cs="TimesNew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3" w:type="dxa"/>
            <w:textDirection w:val="lrTb"/>
            <w:noWrap/>
          </w:tcPr>
          <w:p>
            <w:pPr>
              <w:spacing w:line="269" w:lineRule="auto"/>
              <w:rPr>
                <w:rFonts w:ascii="TimesNewRoman" w:hAnsi="TimesNewRoman" w:cs="TimesNewRoman"/>
                <w:sz w:val="27"/>
                <w:szCs w:val="27"/>
              </w:rPr>
            </w:pPr>
            <w:r>
              <w:rPr>
                <w:rFonts w:ascii="TimesNewRoman" w:hAnsi="TimesNewRoman" w:cs="TimesNewRoman"/>
                <w:i/>
                <w:iCs/>
              </w:rPr>
              <w:t xml:space="preserve">темп роста (снижения) к предыдущему году, %</w:t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  <w:r>
              <w:rPr>
                <w:rFonts w:ascii="TimesNewRoman" w:hAnsi="TimesNewRoman" w:cs="TimesNew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158,3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94,6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jc w:val="center"/>
              <w:rPr>
                <w:rFonts w:ascii="TimesNewRoman" w:hAnsi="TimesNewRoman" w:cs="TimesNewRoman"/>
                <w:i/>
                <w:iCs/>
                <w:color w:val="000000"/>
              </w:rPr>
            </w:pPr>
            <w:r>
              <w:rPr>
                <w:rFonts w:ascii="TimesNewRoman" w:hAnsi="TimesNewRoman" w:cs="TimesNewRoman"/>
                <w:i/>
                <w:iCs/>
                <w:color w:val="000000"/>
              </w:rPr>
              <w:t xml:space="preserve">х</w:t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  <w:r>
              <w:rPr>
                <w:rFonts w:ascii="TimesNewRoman" w:hAnsi="TimesNewRoman" w:cs="TimesNewRoman"/>
                <w:i/>
                <w:iCs/>
                <w:color w:val="000000"/>
              </w:rPr>
            </w:r>
          </w:p>
        </w:tc>
      </w:tr>
    </w:tbl>
    <w:p>
      <w:pPr>
        <w:ind w:firstLine="709"/>
        <w:jc w:val="both"/>
        <w:spacing w:line="269" w:lineRule="auto"/>
        <w:rPr>
          <w:rFonts w:ascii="TimesNewRoman" w:hAnsi="TimesNewRoman" w:cs="TimesNewRoman"/>
          <w:sz w:val="27"/>
          <w:szCs w:val="27"/>
        </w:rPr>
      </w:pPr>
      <w:r>
        <w:rPr>
          <w:rFonts w:ascii="TimesNewRoman" w:hAnsi="TimesNewRoman" w:cs="TimesNewRoman"/>
          <w:sz w:val="27"/>
          <w:szCs w:val="27"/>
        </w:rPr>
      </w:r>
      <w:r>
        <w:rPr>
          <w:rFonts w:ascii="TimesNewRoman" w:hAnsi="TimesNewRoman" w:cs="TimesNewRoman"/>
          <w:sz w:val="27"/>
          <w:szCs w:val="27"/>
        </w:rPr>
      </w:r>
      <w:r>
        <w:rPr>
          <w:rFonts w:ascii="TimesNewRoman" w:hAnsi="TimesNewRoman" w:cs="TimesNewRoman"/>
          <w:sz w:val="27"/>
          <w:szCs w:val="27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Наибольшую долю в структ</w:t>
      </w:r>
      <w:r>
        <w:rPr>
          <w:rFonts w:ascii="TimesNewRoman" w:hAnsi="TimesNewRoman" w:cs="TimesNewRoman"/>
          <w:sz w:val="28"/>
          <w:szCs w:val="28"/>
        </w:rPr>
        <w:t xml:space="preserve">уре выпадающих доходов, обусловленных предоставлением налоговых льгот на территории Мурманской области за 2023 год, по-прежнему занимают стимулирующие налоговые расходы (направленные на поддержку и развитие экономики) – 98,8 % от общего объема налоговых ра</w:t>
      </w:r>
      <w:r>
        <w:rPr>
          <w:rFonts w:ascii="TimesNewRoman" w:hAnsi="TimesNewRoman" w:cs="TimesNewRoman"/>
          <w:sz w:val="28"/>
          <w:szCs w:val="28"/>
        </w:rPr>
        <w:t xml:space="preserve">сходов Мурманской области, что прежде всего связано с реализацией мер государственной поддержки </w:t>
      </w:r>
      <w:r>
        <w:rPr>
          <w:rFonts w:ascii="TimesNewRoman" w:hAnsi="TimesNewRoman" w:cs="TimesNewRoman"/>
          <w:sz w:val="28"/>
          <w:szCs w:val="28"/>
        </w:rPr>
        <w:t xml:space="preserve">инвестиционной деятельности на территории Мурманской области</w:t>
      </w:r>
      <w:r>
        <w:rPr>
          <w:rFonts w:ascii="TimesNewRoman" w:hAnsi="TimesNewRoman" w:cs="TimesNewRoman"/>
          <w:sz w:val="28"/>
          <w:szCs w:val="28"/>
        </w:rPr>
        <w:t xml:space="preserve">, </w:t>
      </w:r>
      <w:r>
        <w:rPr>
          <w:rFonts w:ascii="TimesNewRoman" w:hAnsi="TimesNewRoman" w:cs="TimesNewRoman"/>
          <w:sz w:val="28"/>
          <w:szCs w:val="28"/>
        </w:rPr>
        <w:t xml:space="preserve">малого и среднего предпринимательства</w:t>
      </w:r>
      <w:r>
        <w:rPr>
          <w:rFonts w:ascii="TimesNewRoman" w:hAnsi="TimesNewRoman" w:cs="TimesNewRoman"/>
          <w:sz w:val="28"/>
          <w:szCs w:val="28"/>
        </w:rPr>
        <w:t xml:space="preserve">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Правом на применение региональных налоговых льгот по налогу на прибыль организаций и налогу на имущество организаций в рамках государственной поддержки инвестиционной деятельности на территории Мурманской области в 2023 году воспользовались 6 налогоплатель</w:t>
      </w:r>
      <w:r>
        <w:rPr>
          <w:rFonts w:ascii="TimesNewRoman" w:hAnsi="TimesNewRoman" w:cs="TimesNewRoman"/>
          <w:sz w:val="28"/>
          <w:szCs w:val="28"/>
        </w:rPr>
        <w:t xml:space="preserve">щиков (в 2022 году – 7 организаций). Доля таких льгот составила 29 % от общего объема налоговых расходов (в 2022 году – 34,2 %).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Доля социальных налоговых расходов в общем объеме выпадающих доходов консолидированного бюджета в отчетном году снизилась по от</w:t>
      </w:r>
      <w:r>
        <w:rPr>
          <w:rFonts w:ascii="TimesNewRoman" w:hAnsi="TimesNewRoman" w:cs="TimesNewRoman"/>
          <w:sz w:val="28"/>
          <w:szCs w:val="28"/>
        </w:rPr>
        <w:t xml:space="preserve">ношению к 2022 году на 0,2 процентных пункта и составила 0,9 %. Объем социальных налоговых расходов увеличился на 5,2 % до 205,1 млн рублей  за счет роста объема льгот по транспортному налогу.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Технические налоговые расходы, обусловленные предоставлением н</w:t>
      </w:r>
      <w:r>
        <w:rPr>
          <w:rFonts w:ascii="TimesNewRoman" w:hAnsi="TimesNewRoman" w:cs="TimesNewRoman"/>
          <w:sz w:val="28"/>
          <w:szCs w:val="28"/>
        </w:rPr>
        <w:t xml:space="preserve">алоговых льгот с целью сокращения расходов бюджета путем ликвидации встречных потоков, также снизились по сравнению с 2022 годом и составили 0,</w:t>
      </w:r>
      <w:r>
        <w:rPr>
          <w:rFonts w:ascii="TimesNewRoman" w:hAnsi="TimesNewRoman" w:cs="TimesNewRoman"/>
          <w:sz w:val="28"/>
          <w:szCs w:val="28"/>
        </w:rPr>
        <w:t xml:space="preserve">3</w:t>
      </w:r>
      <w:r>
        <w:rPr>
          <w:rFonts w:ascii="TimesNewRoman" w:hAnsi="TimesNewRoman" w:cs="TimesNewRoman"/>
          <w:sz w:val="28"/>
          <w:szCs w:val="28"/>
        </w:rPr>
        <w:t xml:space="preserve"> % в общем объеме налоговых расходов Мурманской области.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По результатам оценки эффективности налоговых расходов</w:t>
      </w:r>
      <w:r>
        <w:rPr>
          <w:rFonts w:ascii="TimesNewRoman" w:hAnsi="TimesNewRoman" w:cs="TimesNewRoman"/>
          <w:sz w:val="28"/>
          <w:szCs w:val="28"/>
        </w:rPr>
        <w:t xml:space="preserve"> Мурманской области, проведенной региональными профильными исполнительными органами Мурманской области – кураторами налоговых расходов, установлено соответствие большинства налоговых расходов Мурманской области целям региональных государственных программ. </w:t>
      </w:r>
      <w:r>
        <w:rPr>
          <w:rFonts w:ascii="TimesNewRoman" w:hAnsi="TimesNewRoman" w:cs="TimesNewRoman"/>
          <w:sz w:val="28"/>
          <w:szCs w:val="28"/>
        </w:rPr>
        <w:t xml:space="preserve">По признанным эффективными востребованным стимулирующим и социальным налоговым расходам отмечается положительное влияние представленных льгот на достижение плановых значений целевых показателей соответствующих государственных программ Мурманской области. 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целях оценки бюджетной эффективности налоговых расходов Мурманской области кураторами налоговых расходов осуществлен сравнительный анализ результативности предоставления налоговых льгот, образующих налоговые расходы Мурманской области, и результативности</w:t>
      </w:r>
      <w:r>
        <w:rPr>
          <w:rFonts w:ascii="TimesNewRoman" w:hAnsi="TimesNewRoman" w:cs="TimesNewRoman"/>
          <w:sz w:val="28"/>
          <w:szCs w:val="28"/>
        </w:rPr>
        <w:t xml:space="preserve"> применения альтернативных механизмов достижения целей государственных программ Мурманской области, по результатам которого сделан вывод об эффективности соответствующих мер поддержки.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  <w:highlight w:val="white"/>
        </w:rPr>
      </w:pPr>
      <w:r>
        <w:rPr>
          <w:rFonts w:ascii="TimesNewRoman" w:hAnsi="TimesNewRoman" w:cs="TimesNewRoman"/>
          <w:sz w:val="28"/>
          <w:szCs w:val="28"/>
          <w:highlight w:val="white"/>
        </w:rPr>
        <w:t xml:space="preserve">Исключение составляют отдельные категории стимулирующих налоговых льгот</w:t>
      </w:r>
      <w:r>
        <w:rPr>
          <w:rFonts w:ascii="TimesNewRoman" w:hAnsi="TimesNewRoman" w:cs="TimesNewRoman"/>
          <w:sz w:val="28"/>
          <w:szCs w:val="28"/>
          <w:highlight w:val="white"/>
        </w:rPr>
        <w:t xml:space="preserve"> по налогу на прибыль организаций и налогу на имущество организаций, </w:t>
      </w:r>
      <w:r>
        <w:rPr>
          <w:rFonts w:ascii="TimesNewRoman" w:hAnsi="TimesNewRoman" w:cs="TimesNewRoman"/>
          <w:sz w:val="28"/>
          <w:szCs w:val="28"/>
          <w:highlight w:val="white"/>
        </w:rPr>
        <w:t xml:space="preserve">в том числе </w:t>
      </w:r>
      <w:r>
        <w:rPr>
          <w:rFonts w:ascii="TimesNewRoman" w:hAnsi="TimesNewRoman" w:cs="TimesNewRoman"/>
          <w:sz w:val="28"/>
          <w:szCs w:val="28"/>
          <w:highlight w:val="white"/>
        </w:rPr>
        <w:t xml:space="preserve">предоставленных организациям, реализующим стратегические, приоритетные инвестиционные проекты Мурманской области. Совокупный бюджетный эффект данных налоговых льгот за 2022 год, рассчитан</w:t>
      </w:r>
      <w:r>
        <w:rPr>
          <w:rFonts w:ascii="TimesNewRoman" w:hAnsi="TimesNewRoman" w:cs="TimesNewRoman"/>
          <w:sz w:val="28"/>
          <w:szCs w:val="28"/>
          <w:highlight w:val="white"/>
        </w:rPr>
        <w:t xml:space="preserve">ный в соответствии с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22.06.2019 № 796, принимает отрицательное значение. </w:t>
      </w:r>
      <w:r>
        <w:rPr>
          <w:rFonts w:ascii="TimesNewRoman" w:hAnsi="TimesNewRoman" w:cs="TimesNewRoman"/>
          <w:sz w:val="28"/>
          <w:szCs w:val="28"/>
          <w:highlight w:val="white"/>
        </w:rPr>
      </w:r>
      <w:r>
        <w:rPr>
          <w:rFonts w:ascii="TimesNewRoman" w:hAnsi="TimesNewRoman" w:cs="TimesNewRoman"/>
          <w:sz w:val="28"/>
          <w:szCs w:val="28"/>
          <w:highlight w:val="white"/>
        </w:rPr>
      </w:r>
    </w:p>
    <w:p>
      <w:pPr>
        <w:pStyle w:val="871"/>
        <w:ind w:firstLine="709"/>
        <w:jc w:val="both"/>
        <w:spacing w:after="0"/>
        <w:rPr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sz w:val="28"/>
          <w:szCs w:val="28"/>
        </w:rPr>
        <w:t xml:space="preserve">Одной и</w:t>
      </w:r>
      <w:r>
        <w:rPr>
          <w:sz w:val="28"/>
          <w:szCs w:val="28"/>
        </w:rPr>
        <w:t xml:space="preserve">з причин является эффект высокой налоговой базы организаций, реализующих инвестиционные проекты на территории Мурманской области, в году, предшествующем году начала действия соответствующих льгот, что связано с более благоприятной ценовой конъюнктурой рынк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 Также на снижение в отчетном периоде налоговых платежей от получателей льгот по сравнению с базовым годом оказали влияние рост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себестоимости продукции, </w:t>
      </w:r>
      <w:r>
        <w:rPr>
          <w:sz w:val="28"/>
          <w:szCs w:val="28"/>
        </w:rPr>
        <w:t xml:space="preserve">увеличение</w:t>
      </w:r>
      <w:r>
        <w:rPr>
          <w:sz w:val="28"/>
          <w:szCs w:val="28"/>
        </w:rPr>
        <w:t xml:space="preserve"> логистических </w:t>
      </w:r>
      <w:r>
        <w:rPr>
          <w:sz w:val="28"/>
          <w:szCs w:val="28"/>
        </w:rPr>
        <w:t xml:space="preserve">расходов</w:t>
      </w:r>
      <w:r>
        <w:rPr>
          <w:sz w:val="28"/>
          <w:szCs w:val="28"/>
        </w:rPr>
        <w:t xml:space="preserve">, изменение</w:t>
      </w:r>
      <w:r>
        <w:rPr>
          <w:sz w:val="28"/>
          <w:szCs w:val="28"/>
        </w:rPr>
        <w:t xml:space="preserve"> объема заказов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jc w:val="both"/>
        <w:spacing w:after="0"/>
        <w:rPr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sz w:val="28"/>
          <w:szCs w:val="28"/>
        </w:rPr>
        <w:t xml:space="preserve">Вместе с тем сохраняется бюджетная эффективность инвестиционных прое</w:t>
      </w:r>
      <w:r>
        <w:rPr>
          <w:sz w:val="28"/>
          <w:szCs w:val="28"/>
        </w:rPr>
        <w:t xml:space="preserve">ктов, рассчитанная путем сопоставления доходов и расходов консолидированного бюджета Мурманской области, связанных с реализацией инвестиционного проекта, в соответствии с Методикой оценки эффективности инвестиционных проектов, претендующих на меры государс</w:t>
      </w:r>
      <w:r>
        <w:rPr>
          <w:sz w:val="28"/>
          <w:szCs w:val="28"/>
        </w:rPr>
        <w:t xml:space="preserve">твенной поддержки, к Порядку рассмотрения инвестиционных проектов Мурманской области, претендующих на меры государственной поддержки, утвержденному постановлением Правительства Мурманской области от 23.07.2014 № 386-ПП (с изменениями). С учетом этого отмен</w:t>
      </w:r>
      <w:r>
        <w:rPr>
          <w:sz w:val="28"/>
          <w:szCs w:val="28"/>
        </w:rPr>
        <w:t xml:space="preserve">а данных налоговых льгот нецелесообразна.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color w:val="000000" w:themeColor="text1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По итогам оценки налоговых расходов как и годом ранее отмечается отсутствие влияния на реализацию государственных программ Мурманской области, а также отсутствие возможности определить соответствие целям социально-</w:t>
      </w:r>
      <w:r>
        <w:rPr>
          <w:rFonts w:ascii="TimesNewRoman" w:hAnsi="TimesNewRoman" w:cs="TimesNewRoman"/>
          <w:sz w:val="28"/>
          <w:szCs w:val="28"/>
        </w:rPr>
        <w:t xml:space="preserve">экономической политики Мурманской области льготы по налогу на имущество организаций в части имущества, полученного (созданного) за счет технической помощи (содействия), предоставляемой Российской Федерации на безвозмездной основе иностранными государствами</w:t>
      </w:r>
      <w:r>
        <w:rPr>
          <w:rFonts w:ascii="TimesNewRoman" w:hAnsi="TimesNewRoman" w:cs="TimesNewRoman"/>
          <w:sz w:val="28"/>
          <w:szCs w:val="28"/>
        </w:rPr>
        <w:t xml:space="preserve"> в целях проведения утилизации вооружения и военной техники, радиационно-экологических мероприятий по обращению с радиоактивными отходами, отработанным ядерным топливом и другими ядерными материалами, ранее накопленными и (или) образующимися при эксплуатац</w:t>
      </w:r>
      <w:r>
        <w:rPr>
          <w:rFonts w:ascii="TimesNewRoman" w:hAnsi="TimesNewRoman" w:cs="TimesNewRoman"/>
          <w:sz w:val="28"/>
          <w:szCs w:val="28"/>
        </w:rPr>
        <w:t xml:space="preserve">ии и выводе из нее объектов мирного и военного использования атомной энергии, по проектам и программам, которые зарегистрированы в установленном порядке (статья 4-1 Закона Мурманской области от 26.11.2003 № 446-01-ЗМО</w:t>
      </w:r>
      <w:r>
        <w:rPr>
          <w:rFonts w:ascii="TimesNewRoman" w:hAnsi="TimesNewRoman" w:cs="TimesNewRoman"/>
          <w:color w:val="000000" w:themeColor="text1"/>
          <w:sz w:val="28"/>
          <w:szCs w:val="28"/>
        </w:rPr>
        <w:t xml:space="preserve"> «О налоге на имущество организаций»).</w:t>
      </w:r>
      <w:r>
        <w:rPr>
          <w:rFonts w:ascii="TimesNewRoman" w:hAnsi="TimesNewRoman" w:cs="TimesNewRoman"/>
          <w:color w:val="000000" w:themeColor="text1"/>
          <w:sz w:val="28"/>
          <w:szCs w:val="28"/>
        </w:rPr>
      </w:r>
      <w:r>
        <w:rPr>
          <w:rFonts w:ascii="TimesNewRoman" w:hAnsi="TimesNewRoman" w:cs="TimesNewRoman"/>
          <w:color w:val="000000" w:themeColor="text1"/>
          <w:sz w:val="28"/>
          <w:szCs w:val="28"/>
        </w:rPr>
      </w:r>
    </w:p>
    <w:p>
      <w:pPr>
        <w:pStyle w:val="871"/>
        <w:ind w:firstLine="709"/>
        <w:jc w:val="both"/>
        <w:spacing w:after="0"/>
        <w:rPr>
          <w:color w:val="000000" w:themeColor="text1"/>
          <w:sz w:val="28"/>
          <w:szCs w:val="28"/>
          <w:highlight w:val="yellow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color w:val="000000" w:themeColor="text1"/>
          <w:sz w:val="28"/>
          <w:szCs w:val="28"/>
        </w:rPr>
        <w:t xml:space="preserve">Данная преференция действует в регионе с 01.01.2006 и введена в целях выполнения условий рамочного соглашения о многосторонней ядерно-экологической программе в Российской Федерации (соглашение МНЭПР). Учитывая, что Правительство Мурманской области, исполни</w:t>
      </w:r>
      <w:r>
        <w:rPr>
          <w:color w:val="000000" w:themeColor="text1"/>
          <w:sz w:val="28"/>
          <w:szCs w:val="28"/>
        </w:rPr>
        <w:t xml:space="preserve">тельные органы Мурманской области не имеют полномочий на осуществление вышеуказанных направлений международного сотрудничества, а также тот факт, что средства безвозмездной помощи (содействия) не связаны с бюджетом региона, а напрямую следуют получателям, </w:t>
      </w:r>
      <w:r>
        <w:rPr>
          <w:color w:val="000000" w:themeColor="text1"/>
          <w:sz w:val="28"/>
          <w:szCs w:val="28"/>
        </w:rPr>
        <w:t xml:space="preserve">реализующим вышеуказанные мероприятия, данная льгота не может отождествляться с налоговыми расходами Мурманской области, а, значит, не представляется возможным определить ее целесообразность и результативность.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Результаты оценки налоговых расходов Мурманс</w:t>
      </w:r>
      <w:r>
        <w:rPr>
          <w:rFonts w:ascii="TimesNewRoman" w:hAnsi="TimesNewRoman" w:cs="TimesNewRoman"/>
          <w:sz w:val="28"/>
          <w:szCs w:val="28"/>
        </w:rPr>
        <w:t xml:space="preserve">кой области за 2023 год (с  учетом результатов оценки совокупного бюджетного эффекта </w:t>
      </w:r>
      <w:bookmarkStart w:id="0" w:name="undefined"/>
      <w:r/>
      <w:bookmarkEnd w:id="0"/>
      <w:r>
        <w:rPr>
          <w:rFonts w:ascii="TimesNewRoman" w:hAnsi="TimesNewRoman" w:cs="TimesNewRoman"/>
          <w:sz w:val="28"/>
          <w:szCs w:val="28"/>
        </w:rPr>
        <w:t xml:space="preserve">стимулирующих налоговых расходов Мурманской области по налогу на прибыль организаций и налогу на имущество организаций за 2022 год) обобщены в приложении к отчету и будут </w:t>
      </w:r>
      <w:r>
        <w:rPr>
          <w:rFonts w:ascii="TimesNewRoman" w:hAnsi="TimesNewRoman" w:cs="TimesNewRoman"/>
          <w:sz w:val="28"/>
          <w:szCs w:val="28"/>
        </w:rPr>
        <w:t xml:space="preserve">учтены при формировании основных направлений бюджетной и налоговой политики Мурманской области, а также при проведении оценки эффективности реализации государственных программ Мурманской области.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  <w:shd w:val="clear" w:color="auto" w:fill="ffffff"/>
        </w:rPr>
        <w:t xml:space="preserve">Приложение к отчету содержит информацию об оценке налоговых </w:t>
      </w:r>
      <w:r>
        <w:rPr>
          <w:rFonts w:ascii="TimesNewRoman" w:hAnsi="TimesNewRoman" w:cs="TimesNewRoman"/>
          <w:sz w:val="28"/>
          <w:szCs w:val="28"/>
          <w:shd w:val="clear" w:color="auto" w:fill="ffffff"/>
        </w:rPr>
        <w:t xml:space="preserve">расходов Мурманской области на очередной финансовый год и плановый период.</w:t>
      </w:r>
      <w:r>
        <w:rPr>
          <w:rFonts w:ascii="TimesNewRoman" w:hAnsi="TimesNewRoman" w:cs="TimesNewRoman"/>
          <w:sz w:val="28"/>
          <w:szCs w:val="28"/>
        </w:rPr>
      </w:r>
      <w:r>
        <w:rPr>
          <w:rFonts w:ascii="TimesNewRoman" w:hAnsi="TimesNewRoman" w:cs="TimesNew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47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rPr>
          <w:sz w:val="22"/>
          <w:szCs w:val="22"/>
        </w:rPr>
        <w:separator/>
      </w:r>
      <w:r/>
    </w:p>
  </w:endnote>
  <w:endnote w:type="continuationSeparator" w:id="0">
    <w:p>
      <w:r>
        <w:rPr>
          <w:sz w:val="22"/>
          <w:szCs w:val="22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TimesNewRoman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rPr>
          <w:sz w:val="22"/>
          <w:szCs w:val="22"/>
        </w:rPr>
        <w:separator/>
      </w:r>
      <w:r/>
    </w:p>
  </w:footnote>
  <w:footnote w:type="continuationSeparator" w:id="0">
    <w:p>
      <w:r>
        <w:rPr>
          <w:sz w:val="22"/>
          <w:szCs w:val="22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3710670"/>
      <w:docPartObj>
        <w:docPartGallery w:val="Page Numbers (Top of Page)"/>
        <w:docPartUnique w:val="true"/>
      </w:docPartObj>
      <w:rPr/>
    </w:sdtPr>
    <w:sdtContent>
      <w:p>
        <w:pPr>
          <w:pStyle w:val="87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7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Times New Roman" w:cs="Arial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uiPriority w:val="99"/>
    <w:qFormat/>
    <w:pPr>
      <w:spacing w:after="0" w:line="240" w:lineRule="auto"/>
      <w:widowControl w:val="off"/>
    </w:pPr>
    <w:rPr>
      <w:sz w:val="24"/>
      <w:szCs w:val="24"/>
    </w:rPr>
  </w:style>
  <w:style w:type="character" w:styleId="681" w:default="1">
    <w:name w:val="Default Paragraph Font"/>
    <w:uiPriority w:val="1"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paragraph" w:styleId="684" w:customStyle="1">
    <w:name w:val="Heading 1"/>
    <w:basedOn w:val="680"/>
    <w:next w:val="680"/>
    <w:link w:val="865"/>
    <w:uiPriority w:val="9"/>
    <w:qFormat/>
    <w:pPr>
      <w:keepNext/>
      <w:spacing w:before="240" w:after="60" w:line="276" w:lineRule="auto"/>
      <w:widowControl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85" w:customStyle="1">
    <w:name w:val="Heading 1"/>
    <w:basedOn w:val="680"/>
    <w:qFormat/>
    <w:pPr>
      <w:keepLines/>
      <w:keepNext/>
      <w:spacing w:before="480" w:after="200"/>
      <w:outlineLvl w:val="0"/>
    </w:pPr>
    <w:rPr>
      <w:sz w:val="40"/>
      <w:szCs w:val="40"/>
    </w:rPr>
  </w:style>
  <w:style w:type="character" w:styleId="686" w:customStyle="1">
    <w:name w:val="Heading 1 Char"/>
    <w:uiPriority w:val="99"/>
    <w:rPr>
      <w:rFonts w:ascii="Arial" w:hAnsi="Arial" w:cs="Arial"/>
      <w:sz w:val="40"/>
      <w:szCs w:val="40"/>
    </w:rPr>
  </w:style>
  <w:style w:type="paragraph" w:styleId="687" w:customStyle="1">
    <w:name w:val="Heading 2"/>
    <w:basedOn w:val="680"/>
    <w:uiPriority w:val="99"/>
    <w:unhideWhenUsed/>
    <w:qFormat/>
    <w:pPr>
      <w:keepLines/>
      <w:keepNext/>
      <w:spacing w:before="360" w:after="200"/>
      <w:outlineLvl w:val="1"/>
    </w:pPr>
    <w:rPr>
      <w:sz w:val="34"/>
      <w:szCs w:val="34"/>
    </w:rPr>
  </w:style>
  <w:style w:type="character" w:styleId="688" w:customStyle="1">
    <w:name w:val="Heading 2 Char"/>
    <w:uiPriority w:val="99"/>
    <w:rPr>
      <w:rFonts w:ascii="Arial" w:hAnsi="Arial" w:cs="Arial"/>
      <w:sz w:val="34"/>
      <w:szCs w:val="34"/>
    </w:rPr>
  </w:style>
  <w:style w:type="paragraph" w:styleId="689" w:customStyle="1">
    <w:name w:val="Heading 3"/>
    <w:basedOn w:val="680"/>
    <w:uiPriority w:val="99"/>
    <w:unhideWhenUsed/>
    <w:qFormat/>
    <w:pPr>
      <w:keepLines/>
      <w:keepNext/>
      <w:spacing w:before="320" w:after="200"/>
      <w:outlineLvl w:val="2"/>
    </w:pPr>
    <w:rPr>
      <w:sz w:val="30"/>
      <w:szCs w:val="30"/>
    </w:rPr>
  </w:style>
  <w:style w:type="character" w:styleId="690" w:customStyle="1">
    <w:name w:val="Heading 3 Char"/>
    <w:uiPriority w:val="99"/>
    <w:rPr>
      <w:rFonts w:ascii="Arial" w:hAnsi="Arial" w:cs="Arial"/>
      <w:sz w:val="30"/>
      <w:szCs w:val="30"/>
    </w:rPr>
  </w:style>
  <w:style w:type="paragraph" w:styleId="691" w:customStyle="1">
    <w:name w:val="Heading 4"/>
    <w:basedOn w:val="680"/>
    <w:uiPriority w:val="99"/>
    <w:unhideWhenUsed/>
    <w:qFormat/>
    <w:pPr>
      <w:keepLines/>
      <w:keepNext/>
      <w:spacing w:before="320" w:after="200"/>
      <w:outlineLvl w:val="3"/>
    </w:pPr>
    <w:rPr>
      <w:b/>
      <w:bCs/>
      <w:sz w:val="26"/>
      <w:szCs w:val="26"/>
    </w:rPr>
  </w:style>
  <w:style w:type="character" w:styleId="692" w:customStyle="1">
    <w:name w:val="Heading 4 Char"/>
    <w:uiPriority w:val="99"/>
    <w:rPr>
      <w:rFonts w:ascii="Arial" w:hAnsi="Arial" w:cs="Arial"/>
      <w:b/>
      <w:bCs/>
      <w:sz w:val="26"/>
      <w:szCs w:val="26"/>
    </w:rPr>
  </w:style>
  <w:style w:type="paragraph" w:styleId="693" w:customStyle="1">
    <w:name w:val="Heading 5"/>
    <w:basedOn w:val="680"/>
    <w:uiPriority w:val="99"/>
    <w:unhideWhenUsed/>
    <w:qFormat/>
    <w:pPr>
      <w:keepLines/>
      <w:keepNext/>
      <w:spacing w:before="320" w:after="200"/>
      <w:outlineLvl w:val="4"/>
    </w:pPr>
    <w:rPr>
      <w:b/>
      <w:bCs/>
    </w:rPr>
  </w:style>
  <w:style w:type="character" w:styleId="694" w:customStyle="1">
    <w:name w:val="Heading 5 Char"/>
    <w:uiPriority w:val="99"/>
    <w:rPr>
      <w:rFonts w:ascii="Arial" w:hAnsi="Arial" w:cs="Arial"/>
      <w:b/>
      <w:bCs/>
    </w:rPr>
  </w:style>
  <w:style w:type="paragraph" w:styleId="695" w:customStyle="1">
    <w:name w:val="Heading 6"/>
    <w:basedOn w:val="680"/>
    <w:uiPriority w:val="99"/>
    <w:unhideWhenUsed/>
    <w:qFormat/>
    <w:pPr>
      <w:keepLines/>
      <w:keepNext/>
      <w:spacing w:before="320" w:after="200"/>
      <w:outlineLvl w:val="5"/>
    </w:pPr>
    <w:rPr>
      <w:b/>
      <w:bCs/>
      <w:sz w:val="22"/>
      <w:szCs w:val="22"/>
    </w:rPr>
  </w:style>
  <w:style w:type="character" w:styleId="696" w:customStyle="1">
    <w:name w:val="Heading 6 Char"/>
    <w:uiPriority w:val="99"/>
    <w:rPr>
      <w:rFonts w:ascii="Arial" w:hAnsi="Arial" w:cs="Arial"/>
      <w:b/>
      <w:bCs/>
      <w:sz w:val="22"/>
      <w:szCs w:val="22"/>
    </w:rPr>
  </w:style>
  <w:style w:type="paragraph" w:styleId="697" w:customStyle="1">
    <w:name w:val="Heading 7"/>
    <w:basedOn w:val="680"/>
    <w:uiPriority w:val="99"/>
    <w:unhideWhenUsed/>
    <w:qFormat/>
    <w:pPr>
      <w:keepLines/>
      <w:keepNext/>
      <w:spacing w:before="320" w:after="200"/>
      <w:outlineLvl w:val="6"/>
    </w:pPr>
    <w:rPr>
      <w:b/>
      <w:bCs/>
      <w:i/>
      <w:iCs/>
      <w:sz w:val="22"/>
      <w:szCs w:val="22"/>
    </w:rPr>
  </w:style>
  <w:style w:type="character" w:styleId="698" w:customStyle="1">
    <w:name w:val="Heading 7 Char"/>
    <w:uiPriority w:val="99"/>
    <w:rPr>
      <w:rFonts w:ascii="Arial" w:hAnsi="Arial" w:cs="Arial"/>
      <w:b/>
      <w:bCs/>
      <w:i/>
      <w:iCs/>
      <w:sz w:val="22"/>
      <w:szCs w:val="22"/>
    </w:rPr>
  </w:style>
  <w:style w:type="paragraph" w:styleId="699" w:customStyle="1">
    <w:name w:val="Heading 8"/>
    <w:basedOn w:val="680"/>
    <w:uiPriority w:val="99"/>
    <w:unhideWhenUsed/>
    <w:qFormat/>
    <w:pPr>
      <w:keepLines/>
      <w:keepNext/>
      <w:spacing w:before="320" w:after="200"/>
      <w:outlineLvl w:val="7"/>
    </w:pPr>
    <w:rPr>
      <w:i/>
      <w:iCs/>
      <w:sz w:val="22"/>
      <w:szCs w:val="22"/>
    </w:rPr>
  </w:style>
  <w:style w:type="character" w:styleId="700" w:customStyle="1">
    <w:name w:val="Heading 8 Char"/>
    <w:uiPriority w:val="99"/>
    <w:rPr>
      <w:rFonts w:ascii="Arial" w:hAnsi="Arial" w:cs="Arial"/>
      <w:i/>
      <w:iCs/>
      <w:sz w:val="22"/>
      <w:szCs w:val="22"/>
    </w:rPr>
  </w:style>
  <w:style w:type="paragraph" w:styleId="701" w:customStyle="1">
    <w:name w:val="Heading 9"/>
    <w:basedOn w:val="680"/>
    <w:uiPriority w:val="9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02" w:customStyle="1">
    <w:name w:val="Heading 9 Char"/>
    <w:uiPriority w:val="99"/>
    <w:rPr>
      <w:rFonts w:ascii="Arial" w:hAnsi="Arial" w:cs="Arial"/>
      <w:i/>
      <w:iCs/>
      <w:sz w:val="21"/>
      <w:szCs w:val="21"/>
    </w:rPr>
  </w:style>
  <w:style w:type="paragraph" w:styleId="703">
    <w:name w:val="Title"/>
    <w:basedOn w:val="680"/>
    <w:next w:val="680"/>
    <w:link w:val="704"/>
    <w:uiPriority w:val="99"/>
    <w:qFormat/>
    <w:pPr>
      <w:contextualSpacing/>
      <w:spacing w:before="300" w:after="200"/>
    </w:pPr>
    <w:rPr>
      <w:sz w:val="48"/>
      <w:szCs w:val="48"/>
    </w:rPr>
  </w:style>
  <w:style w:type="character" w:styleId="704" w:customStyle="1">
    <w:name w:val="Название Знак"/>
    <w:basedOn w:val="681"/>
    <w:link w:val="703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705" w:customStyle="1">
    <w:name w:val="Title Char"/>
    <w:uiPriority w:val="99"/>
    <w:rPr>
      <w:rFonts w:ascii="Arial" w:hAnsi="Arial" w:cs="Arial"/>
      <w:sz w:val="48"/>
      <w:szCs w:val="48"/>
    </w:rPr>
  </w:style>
  <w:style w:type="paragraph" w:styleId="706">
    <w:name w:val="Subtitle"/>
    <w:basedOn w:val="680"/>
    <w:next w:val="680"/>
    <w:link w:val="707"/>
    <w:uiPriority w:val="99"/>
    <w:qFormat/>
    <w:pPr>
      <w:spacing w:before="200" w:after="200"/>
    </w:pPr>
  </w:style>
  <w:style w:type="character" w:styleId="707" w:customStyle="1">
    <w:name w:val="Подзаголовок Знак"/>
    <w:basedOn w:val="681"/>
    <w:link w:val="706"/>
    <w:uiPriority w:val="11"/>
    <w:rPr>
      <w:rFonts w:asciiTheme="majorHAnsi" w:hAnsiTheme="majorHAnsi" w:eastAsiaTheme="majorEastAsia" w:cstheme="majorBidi"/>
      <w:sz w:val="24"/>
      <w:szCs w:val="24"/>
    </w:rPr>
  </w:style>
  <w:style w:type="character" w:styleId="708" w:customStyle="1">
    <w:name w:val="Subtitle Char"/>
    <w:uiPriority w:val="99"/>
    <w:rPr>
      <w:rFonts w:ascii="Arial" w:hAnsi="Arial" w:cs="Arial"/>
    </w:rPr>
  </w:style>
  <w:style w:type="paragraph" w:styleId="709">
    <w:name w:val="Quote"/>
    <w:basedOn w:val="680"/>
    <w:next w:val="680"/>
    <w:link w:val="710"/>
    <w:uiPriority w:val="99"/>
    <w:qFormat/>
    <w:pPr>
      <w:ind w:left="720"/>
    </w:pPr>
    <w:rPr>
      <w:i/>
      <w:iCs/>
    </w:rPr>
  </w:style>
  <w:style w:type="character" w:styleId="710" w:customStyle="1">
    <w:name w:val="Цитата 2 Знак"/>
    <w:basedOn w:val="681"/>
    <w:link w:val="709"/>
    <w:uiPriority w:val="29"/>
    <w:rPr>
      <w:i/>
      <w:iCs/>
      <w:color w:val="000000" w:themeColor="text1"/>
    </w:rPr>
  </w:style>
  <w:style w:type="character" w:styleId="711" w:customStyle="1">
    <w:name w:val="Quote Char"/>
    <w:uiPriority w:val="99"/>
    <w:rPr>
      <w:rFonts w:ascii="Arial" w:hAnsi="Arial" w:cs="Arial"/>
      <w:i/>
      <w:iCs/>
    </w:rPr>
  </w:style>
  <w:style w:type="paragraph" w:styleId="712">
    <w:name w:val="Intense Quote"/>
    <w:basedOn w:val="680"/>
    <w:next w:val="680"/>
    <w:link w:val="713"/>
    <w:uiPriority w:val="99"/>
    <w:qFormat/>
    <w:pPr>
      <w:contextualSpacing/>
      <w:ind w:lef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iCs/>
    </w:rPr>
  </w:style>
  <w:style w:type="character" w:styleId="713" w:customStyle="1">
    <w:name w:val="Выделенная цитата Знак"/>
    <w:basedOn w:val="681"/>
    <w:link w:val="712"/>
    <w:uiPriority w:val="30"/>
    <w:rPr>
      <w:b/>
      <w:bCs/>
      <w:i/>
      <w:iCs/>
      <w:color w:val="4f81bd" w:themeColor="accent1"/>
    </w:rPr>
  </w:style>
  <w:style w:type="character" w:styleId="714" w:customStyle="1">
    <w:name w:val="Intense Quote Char"/>
    <w:uiPriority w:val="99"/>
    <w:rPr>
      <w:rFonts w:ascii="Arial" w:hAnsi="Arial" w:cs="Arial"/>
      <w:i/>
      <w:iCs/>
    </w:rPr>
  </w:style>
  <w:style w:type="paragraph" w:styleId="715" w:customStyle="1">
    <w:name w:val="Header"/>
    <w:basedOn w:val="68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6" w:customStyle="1">
    <w:name w:val="Header Char"/>
    <w:uiPriority w:val="99"/>
    <w:rPr>
      <w:rFonts w:ascii="Arial" w:hAnsi="Arial" w:cs="Arial"/>
    </w:rPr>
  </w:style>
  <w:style w:type="paragraph" w:styleId="717" w:customStyle="1">
    <w:name w:val="Footer"/>
    <w:basedOn w:val="68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8" w:customStyle="1">
    <w:name w:val="Footer Char"/>
    <w:uiPriority w:val="99"/>
    <w:rPr>
      <w:rFonts w:ascii="Arial" w:hAnsi="Arial" w:cs="Arial"/>
    </w:rPr>
  </w:style>
  <w:style w:type="paragraph" w:styleId="719" w:customStyle="1">
    <w:name w:val="Caption"/>
    <w:basedOn w:val="680"/>
    <w:uiPriority w:val="99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0" w:customStyle="1">
    <w:name w:val="Caption Char"/>
    <w:uiPriority w:val="99"/>
    <w:rPr>
      <w:rFonts w:ascii="Arial" w:hAnsi="Arial" w:cs="Arial"/>
    </w:rPr>
  </w:style>
  <w:style w:type="table" w:styleId="721">
    <w:name w:val="Table Grid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Table Grid Light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Plain Table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5" w:customStyle="1">
    <w:name w:val="Plain Table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Plain Table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Plain Table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1 Light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1 Light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1 Light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1 Light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1 Light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1 Light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2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2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2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2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2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3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3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3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3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3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4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4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4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4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4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5 Dark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5 Dark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5 Dark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5 Dark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5 Dark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5 Dark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6 Colorful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6 Colorful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6 Colorful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6 Colorful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6 Colorful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6 Colorful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7 Colorful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7 Colorful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7 Colorful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7 Colorful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7 Colorful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7 Colorful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1 Light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1 Light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1 Light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1 Light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1 Light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1 Light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2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2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2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2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2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3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3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3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3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3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4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4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4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4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4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5 Dark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5 Dark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5 Dark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5 Dark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5 Dark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5 Dark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6 Colorful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6 Colorful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6 Colorful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6 Colorful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6 Colorful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6 Colorful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7 Colorful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7 Colorful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7 Colorful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7 Colorful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7 Colorful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7 Colorful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ned - Accent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ned - Accent 1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ned - Accent 2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ned - Accent 3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ned - Accent 4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5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6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&amp; Lined - Accent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&amp; Lined - Accent 1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&amp; Lined - Accent 2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&amp; Lined - Accent 3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&amp; Lined - Accent 4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 5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6"/>
    <w:basedOn w:val="682"/>
    <w:uiPriority w:val="99"/>
    <w:pPr>
      <w:spacing w:after="0" w:line="240" w:lineRule="auto"/>
      <w:widowControl w:val="off"/>
    </w:pPr>
    <w:rPr>
      <w:color w:val="404040"/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- Accent 1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- Accent 2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- Accent 3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- Accent 4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- Accent 5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6"/>
    <w:basedOn w:val="682"/>
    <w:uiPriority w:val="99"/>
    <w:pPr>
      <w:spacing w:after="0" w:line="240" w:lineRule="auto"/>
      <w:widowControl w:val="off"/>
    </w:pPr>
    <w:rPr>
      <w:sz w:val="24"/>
      <w:szCs w:val="24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character" w:styleId="847">
    <w:name w:val="Hyperlink"/>
    <w:basedOn w:val="681"/>
    <w:uiPriority w:val="99"/>
    <w:unhideWhenUsed/>
    <w:rPr>
      <w:rFonts w:ascii="Arial" w:hAnsi="Arial" w:cs="Arial"/>
      <w:color w:val="0000ff"/>
      <w:u w:val="single"/>
    </w:rPr>
  </w:style>
  <w:style w:type="paragraph" w:styleId="848">
    <w:name w:val="footnote text"/>
    <w:basedOn w:val="680"/>
    <w:link w:val="849"/>
    <w:uiPriority w:val="99"/>
    <w:semiHidden/>
    <w:unhideWhenUsed/>
    <w:pPr>
      <w:spacing w:after="40"/>
    </w:pPr>
    <w:rPr>
      <w:sz w:val="18"/>
      <w:szCs w:val="18"/>
    </w:rPr>
  </w:style>
  <w:style w:type="character" w:styleId="849" w:customStyle="1">
    <w:name w:val="Текст сноски Знак"/>
    <w:basedOn w:val="681"/>
    <w:link w:val="848"/>
    <w:uiPriority w:val="99"/>
    <w:semiHidden/>
    <w:rPr>
      <w:sz w:val="20"/>
      <w:szCs w:val="20"/>
    </w:rPr>
  </w:style>
  <w:style w:type="character" w:styleId="850" w:customStyle="1">
    <w:name w:val="Footnote Text Char"/>
    <w:uiPriority w:val="99"/>
    <w:rPr>
      <w:rFonts w:ascii="Arial" w:hAnsi="Arial" w:cs="Arial"/>
      <w:sz w:val="18"/>
      <w:szCs w:val="18"/>
    </w:rPr>
  </w:style>
  <w:style w:type="character" w:styleId="851">
    <w:name w:val="footnote reference"/>
    <w:basedOn w:val="681"/>
    <w:uiPriority w:val="99"/>
    <w:unhideWhenUsed/>
    <w:rPr>
      <w:rFonts w:ascii="Arial" w:hAnsi="Arial" w:cs="Arial"/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  <w:rPr>
      <w:sz w:val="20"/>
      <w:szCs w:val="20"/>
    </w:rPr>
  </w:style>
  <w:style w:type="character" w:styleId="853" w:customStyle="1">
    <w:name w:val="Текст концевой сноски Знак"/>
    <w:basedOn w:val="681"/>
    <w:link w:val="852"/>
    <w:uiPriority w:val="99"/>
    <w:semiHidden/>
    <w:rPr>
      <w:sz w:val="20"/>
      <w:szCs w:val="20"/>
    </w:rPr>
  </w:style>
  <w:style w:type="character" w:styleId="854" w:customStyle="1">
    <w:name w:val="Endnote Text Char"/>
    <w:uiPriority w:val="99"/>
    <w:rPr>
      <w:rFonts w:ascii="Arial" w:hAnsi="Arial" w:cs="Arial"/>
      <w:sz w:val="20"/>
      <w:szCs w:val="20"/>
    </w:rPr>
  </w:style>
  <w:style w:type="character" w:styleId="855">
    <w:name w:val="endnote reference"/>
    <w:basedOn w:val="681"/>
    <w:uiPriority w:val="99"/>
    <w:semiHidden/>
    <w:unhideWhenUsed/>
    <w:rPr>
      <w:rFonts w:ascii="Arial" w:hAnsi="Arial" w:cs="Arial"/>
      <w:vertAlign w:val="superscript"/>
    </w:rPr>
  </w:style>
  <w:style w:type="paragraph" w:styleId="856">
    <w:name w:val="toc 1"/>
    <w:basedOn w:val="680"/>
    <w:next w:val="680"/>
    <w:uiPriority w:val="99"/>
    <w:unhideWhenUsed/>
    <w:pPr>
      <w:spacing w:after="57"/>
    </w:pPr>
  </w:style>
  <w:style w:type="paragraph" w:styleId="857">
    <w:name w:val="toc 2"/>
    <w:basedOn w:val="680"/>
    <w:next w:val="680"/>
    <w:uiPriority w:val="99"/>
    <w:unhideWhenUsed/>
    <w:pPr>
      <w:ind w:left="283"/>
      <w:spacing w:after="57"/>
    </w:pPr>
  </w:style>
  <w:style w:type="paragraph" w:styleId="858">
    <w:name w:val="toc 3"/>
    <w:basedOn w:val="680"/>
    <w:next w:val="680"/>
    <w:uiPriority w:val="99"/>
    <w:unhideWhenUsed/>
    <w:pPr>
      <w:ind w:left="567"/>
      <w:spacing w:after="57"/>
    </w:pPr>
  </w:style>
  <w:style w:type="paragraph" w:styleId="859">
    <w:name w:val="toc 4"/>
    <w:basedOn w:val="680"/>
    <w:next w:val="680"/>
    <w:uiPriority w:val="99"/>
    <w:unhideWhenUsed/>
    <w:pPr>
      <w:ind w:left="850"/>
      <w:spacing w:after="57"/>
    </w:pPr>
  </w:style>
  <w:style w:type="paragraph" w:styleId="860">
    <w:name w:val="toc 5"/>
    <w:basedOn w:val="680"/>
    <w:next w:val="680"/>
    <w:uiPriority w:val="99"/>
    <w:unhideWhenUsed/>
    <w:pPr>
      <w:ind w:left="1134"/>
      <w:spacing w:after="57"/>
    </w:pPr>
  </w:style>
  <w:style w:type="paragraph" w:styleId="861">
    <w:name w:val="toc 6"/>
    <w:basedOn w:val="680"/>
    <w:next w:val="680"/>
    <w:uiPriority w:val="99"/>
    <w:unhideWhenUsed/>
    <w:pPr>
      <w:ind w:left="1417"/>
      <w:spacing w:after="57"/>
    </w:pPr>
  </w:style>
  <w:style w:type="paragraph" w:styleId="862">
    <w:name w:val="toc 7"/>
    <w:basedOn w:val="680"/>
    <w:next w:val="680"/>
    <w:uiPriority w:val="99"/>
    <w:unhideWhenUsed/>
    <w:pPr>
      <w:ind w:left="1701"/>
      <w:spacing w:after="57"/>
    </w:pPr>
  </w:style>
  <w:style w:type="paragraph" w:styleId="863">
    <w:name w:val="toc 8"/>
    <w:basedOn w:val="680"/>
    <w:next w:val="680"/>
    <w:uiPriority w:val="99"/>
    <w:unhideWhenUsed/>
    <w:pPr>
      <w:ind w:left="1984"/>
      <w:spacing w:after="57"/>
    </w:pPr>
  </w:style>
  <w:style w:type="paragraph" w:styleId="864">
    <w:name w:val="toc 9"/>
    <w:basedOn w:val="680"/>
    <w:next w:val="680"/>
    <w:uiPriority w:val="99"/>
    <w:unhideWhenUsed/>
    <w:pPr>
      <w:ind w:left="2268"/>
      <w:spacing w:after="57"/>
    </w:pPr>
  </w:style>
  <w:style w:type="character" w:styleId="865" w:customStyle="1">
    <w:name w:val="Заголовок 1 Знак"/>
    <w:basedOn w:val="681"/>
    <w:link w:val="684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66">
    <w:name w:val="TOC Heading"/>
    <w:basedOn w:val="684"/>
    <w:next w:val="680"/>
    <w:uiPriority w:val="99"/>
    <w:qFormat/>
    <w:pPr>
      <w:keepNext w:val="0"/>
      <w:spacing w:before="0" w:after="0" w:line="240" w:lineRule="auto"/>
      <w:widowControl w:val="off"/>
      <w:outlineLvl w:val="9"/>
    </w:pPr>
    <w:rPr>
      <w:rFonts w:ascii="Arial" w:hAnsi="Arial" w:eastAsia="Times New Roman" w:cs="Arial"/>
      <w:b w:val="0"/>
      <w:bCs w:val="0"/>
      <w:sz w:val="24"/>
      <w:szCs w:val="24"/>
    </w:rPr>
  </w:style>
  <w:style w:type="paragraph" w:styleId="867">
    <w:name w:val="table of figures"/>
    <w:basedOn w:val="680"/>
    <w:next w:val="680"/>
    <w:uiPriority w:val="99"/>
    <w:unhideWhenUsed/>
  </w:style>
  <w:style w:type="paragraph" w:styleId="868">
    <w:name w:val="No Spacing"/>
    <w:basedOn w:val="680"/>
    <w:uiPriority w:val="99"/>
    <w:qFormat/>
  </w:style>
  <w:style w:type="paragraph" w:styleId="869">
    <w:name w:val="List Paragraph"/>
    <w:basedOn w:val="680"/>
    <w:uiPriority w:val="99"/>
    <w:qFormat/>
    <w:pPr>
      <w:contextualSpacing/>
      <w:ind w:left="720"/>
    </w:pPr>
  </w:style>
  <w:style w:type="character" w:styleId="870" w:customStyle="1">
    <w:name w:val="s2"/>
    <w:uiPriority w:val="99"/>
    <w:rPr>
      <w:rFonts w:ascii="Arial" w:hAnsi="Arial" w:cs="Arial"/>
    </w:rPr>
  </w:style>
  <w:style w:type="paragraph" w:styleId="871">
    <w:name w:val="Body Text"/>
    <w:basedOn w:val="680"/>
    <w:link w:val="872"/>
    <w:uiPriority w:val="99"/>
    <w:unhideWhenUsed/>
    <w:pPr>
      <w:contextualSpacing/>
      <w:spacing w:after="120"/>
      <w:shd w:val="clear" w:color="000000" w:fill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TimesNewRoman" w:hAnsi="TimesNewRoman" w:cs="TimesNewRoman"/>
      <w:color w:val="000000"/>
    </w:rPr>
  </w:style>
  <w:style w:type="character" w:styleId="872" w:customStyle="1">
    <w:name w:val="Основной текст Знак"/>
    <w:basedOn w:val="681"/>
    <w:link w:val="871"/>
    <w:uiPriority w:val="99"/>
    <w:semiHidden/>
    <w:rPr>
      <w:sz w:val="24"/>
      <w:szCs w:val="24"/>
    </w:rPr>
  </w:style>
  <w:style w:type="paragraph" w:styleId="873">
    <w:name w:val="Balloon Text"/>
    <w:basedOn w:val="680"/>
    <w:link w:val="874"/>
    <w:uiPriority w:val="99"/>
    <w:semiHidden/>
    <w:unhideWhenUsed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681"/>
    <w:link w:val="873"/>
    <w:uiPriority w:val="99"/>
    <w:semiHidden/>
    <w:rPr>
      <w:rFonts w:ascii="Tahoma" w:hAnsi="Tahoma" w:cs="Tahoma"/>
      <w:sz w:val="16"/>
      <w:szCs w:val="16"/>
    </w:rPr>
  </w:style>
  <w:style w:type="paragraph" w:styleId="875">
    <w:name w:val="Header"/>
    <w:basedOn w:val="680"/>
    <w:link w:val="8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681"/>
    <w:link w:val="875"/>
    <w:uiPriority w:val="99"/>
    <w:rPr>
      <w:sz w:val="24"/>
      <w:szCs w:val="24"/>
    </w:rPr>
  </w:style>
  <w:style w:type="paragraph" w:styleId="877">
    <w:name w:val="Footer"/>
    <w:basedOn w:val="680"/>
    <w:link w:val="87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681"/>
    <w:link w:val="877"/>
    <w:uiPriority w:val="99"/>
    <w:semiHidden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hart" Target="charts/chart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1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063530"/>
          <c:y val="0.149840"/>
          <c:w val="0.522140"/>
          <c:h val="0.7789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011280"/>
                  <c:y val="0.191610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</c:dLbl>
            <c:dLbl>
              <c:idx val="1"/>
              <c:layout>
                <c:manualLayout>
                  <c:x val="0.008240"/>
                  <c:y val="-0.077040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</c:dLbl>
            <c:dLbl>
              <c:idx val="2"/>
              <c:layout>
                <c:manualLayout>
                  <c:x val="-0.036010"/>
                  <c:y val="-0.004870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</c:dLbl>
            <c:dLbl>
              <c:idx val="3"/>
              <c:layout>
                <c:manualLayout>
                  <c:x val="-0.005170"/>
                  <c:y val="-0.011590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</c:dLbl>
            <c:dLbl>
              <c:idx val="4"/>
              <c:layout>
                <c:manualLayout>
                  <c:x val="0.027130"/>
                  <c:y val="-0.047910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0,001</a:t>
                    </a:r>
                    <a:endParaRPr lang="en-US"/>
                  </a:p>
                </c:rich>
              </c:tx>
            </c:dLbl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lstStyle/>
              <a:p>
                <a:pPr>
                  <a:defRPr sz="1100">
                    <a:latin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Лист1!$A$2:$A$6</c:f>
              <c:strCache>
                <c:ptCount val="5"/>
                <c:pt idx="0">
                  <c:v xml:space="preserve">налог, взимаемый в связи с применением УСН</c:v>
                </c:pt>
                <c:pt idx="1">
                  <c:v xml:space="preserve">налог на имущество организаций</c:v>
                </c:pt>
                <c:pt idx="2">
                  <c:v xml:space="preserve">налог на прибыль организаций</c:v>
                </c:pt>
                <c:pt idx="3">
                  <c:v xml:space="preserve">транспортный налог</c:v>
                </c:pt>
                <c:pt idx="4">
                  <c:v xml:space="preserve">налог, взимаемый в связи с применением ПСН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63.3</c:v>
                </c:pt>
                <c:pt idx="1">
                  <c:v>20.7</c:v>
                </c:pt>
                <c:pt idx="2">
                  <c:v>14.9</c:v>
                </c:pt>
                <c:pt idx="3">
                  <c:v>1.1</c:v>
                </c:pt>
                <c:pt idx="4">
                  <c:v>1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</c:pie3DChart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/>
              <a:cs typeface="Times New Roman"/>
            </a:defRPr>
          </a:pPr>
          <a:endParaRPr lang="ru-RU"/>
        </a:p>
      </c:txPr>
    </c:legend>
    <c:plotVisOnly val="1"/>
    <c:showDLblsOverMax val="0"/>
  </c:chart>
  <c:spPr bwMode="auto">
    <a:xfrm>
      <a:off x="0" y="0"/>
      <a:ext cx="5944847" cy="2536172"/>
    </a:xfrm>
    <a:prstGeom prst="rect">
      <a:avLst/>
    </a:prstGeom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A743-4742-4502-A4F5-F2253F00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revision>8</cp:revision>
  <dcterms:created xsi:type="dcterms:W3CDTF">2024-08-29T13:17:00Z</dcterms:created>
  <dcterms:modified xsi:type="dcterms:W3CDTF">2024-10-22T16:30:22Z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Р7-Офис/2024.1.3.422</vt:lpwstr>
  </property>
</Properties>
</file>