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BE" w:rsidRPr="000E65BE" w:rsidRDefault="000E65BE" w:rsidP="000E65B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5BE">
        <w:rPr>
          <w:rFonts w:ascii="Times New Roman" w:hAnsi="Times New Roman" w:cs="Times New Roman"/>
          <w:sz w:val="26"/>
          <w:szCs w:val="26"/>
        </w:rPr>
        <w:t>Объемы предоставления государственных гарантий Мурманской области по каждой цели гарантирования, предусмотренной программой государственных гарантий Мурманской области в валюте Российской Федерации на 2026 год предусмотрены Законом Мурманской области об областном бюджете на 2024 год и на плановый период 2025 и 2026 годов</w:t>
      </w:r>
      <w:bookmarkStart w:id="0" w:name="_GoBack"/>
      <w:bookmarkEnd w:id="0"/>
      <w:r w:rsidRPr="000E65BE">
        <w:rPr>
          <w:rFonts w:ascii="Times New Roman" w:hAnsi="Times New Roman" w:cs="Times New Roman"/>
          <w:sz w:val="26"/>
          <w:szCs w:val="26"/>
        </w:rPr>
        <w:t>.</w:t>
      </w:r>
    </w:p>
    <w:p w:rsidR="000E65BE" w:rsidRPr="000E65BE" w:rsidRDefault="000E65BE" w:rsidP="000E65B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5BE">
        <w:rPr>
          <w:rFonts w:ascii="Times New Roman" w:hAnsi="Times New Roman" w:cs="Times New Roman"/>
          <w:sz w:val="26"/>
          <w:szCs w:val="26"/>
        </w:rPr>
        <w:t>Проектом закона Мурманской области «Об областном бюджете на 2025 год и на плановый период 2026 и 2027 годов» дополнительные ассигнования на возможное исполнения государственных гарантий Мурманской области не предусматриваются.</w:t>
      </w:r>
    </w:p>
    <w:p w:rsidR="0061214C" w:rsidRPr="000E65BE" w:rsidRDefault="0061214C" w:rsidP="000E65B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61214C" w:rsidRPr="000E6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A6D"/>
    <w:rsid w:val="000E65BE"/>
    <w:rsid w:val="000E7A6D"/>
    <w:rsid w:val="0061214C"/>
    <w:rsid w:val="0074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73965-741D-44BE-8208-4F0CDCC7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5BE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3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7</cp:revision>
  <dcterms:created xsi:type="dcterms:W3CDTF">2024-10-29T14:51:00Z</dcterms:created>
  <dcterms:modified xsi:type="dcterms:W3CDTF">2024-10-29T14:52:00Z</dcterms:modified>
</cp:coreProperties>
</file>